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2"/>
      </w:tblGrid>
      <w:tr w:rsidR="0034269A" w14:paraId="4C77246B" w14:textId="77777777" w:rsidTr="00A82697">
        <w:trPr>
          <w:trHeight w:val="13351"/>
        </w:trPr>
        <w:tc>
          <w:tcPr>
            <w:tcW w:w="9832" w:type="dxa"/>
            <w:shd w:val="clear" w:color="auto" w:fill="auto"/>
          </w:tcPr>
          <w:p w14:paraId="4683ACDD" w14:textId="77777777" w:rsidR="0034269A" w:rsidRDefault="0034269A" w:rsidP="00584DAB">
            <w:pPr>
              <w:pStyle w:val="Heading7"/>
              <w:tabs>
                <w:tab w:val="clear" w:pos="5549"/>
                <w:tab w:val="left" w:pos="6379"/>
              </w:tabs>
              <w:ind w:left="0" w:firstLine="0"/>
            </w:pPr>
          </w:p>
          <w:p w14:paraId="448B82CF" w14:textId="77777777" w:rsidR="0034269A" w:rsidRDefault="0034269A" w:rsidP="00584DAB">
            <w:pPr>
              <w:jc w:val="right"/>
            </w:pPr>
          </w:p>
          <w:p w14:paraId="372627F3" w14:textId="77777777" w:rsidR="0034269A" w:rsidRDefault="0034269A" w:rsidP="00584DAB"/>
          <w:p w14:paraId="4DD76C91" w14:textId="77777777" w:rsidR="0034269A" w:rsidRDefault="0034269A" w:rsidP="00584DAB">
            <w:r>
              <w:object w:dxaOrig="15688" w:dyaOrig="1710" w14:anchorId="42436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52.5pt" o:ole="">
                  <v:imagedata r:id="rId8" o:title=""/>
                </v:shape>
                <o:OLEObject Type="Embed" ProgID="MSPhotoEd.3" ShapeID="_x0000_i1025" DrawAspect="Content" ObjectID="_1653321611" r:id="rId9"/>
              </w:object>
            </w:r>
          </w:p>
          <w:p w14:paraId="5C6CE7F7" w14:textId="77777777" w:rsidR="0034269A" w:rsidRDefault="0034269A" w:rsidP="00584DAB">
            <w:pPr>
              <w:jc w:val="right"/>
            </w:pPr>
          </w:p>
          <w:p w14:paraId="590BE125" w14:textId="77777777" w:rsidR="0034269A" w:rsidRDefault="0034269A" w:rsidP="00584DAB"/>
          <w:tbl>
            <w:tblPr>
              <w:tblW w:w="0" w:type="auto"/>
              <w:tblInd w:w="744" w:type="dxa"/>
              <w:tblLook w:val="01E0" w:firstRow="1" w:lastRow="1" w:firstColumn="1" w:lastColumn="1" w:noHBand="0" w:noVBand="0"/>
            </w:tblPr>
            <w:tblGrid>
              <w:gridCol w:w="7870"/>
            </w:tblGrid>
            <w:tr w:rsidR="0034269A" w14:paraId="6C7B6968" w14:textId="77777777" w:rsidTr="00FA1971">
              <w:trPr>
                <w:trHeight w:val="7000"/>
              </w:trPr>
              <w:tc>
                <w:tcPr>
                  <w:tcW w:w="7870" w:type="dxa"/>
                  <w:shd w:val="clear" w:color="auto" w:fill="auto"/>
                </w:tcPr>
                <w:p w14:paraId="37C9304B" w14:textId="62486B19" w:rsidR="00845779" w:rsidRDefault="00845779" w:rsidP="00845779">
                  <w:pPr>
                    <w:autoSpaceDE w:val="0"/>
                    <w:autoSpaceDN w:val="0"/>
                    <w:adjustRightInd w:val="0"/>
                    <w:jc w:val="center"/>
                    <w:rPr>
                      <w:rFonts w:cs="Arial"/>
                      <w:b/>
                      <w:bCs/>
                      <w:color w:val="3333CC"/>
                      <w:sz w:val="43"/>
                      <w:szCs w:val="48"/>
                    </w:rPr>
                  </w:pPr>
                </w:p>
                <w:p w14:paraId="3C4E7DA5" w14:textId="77777777" w:rsidR="00845779" w:rsidRDefault="00845779" w:rsidP="00845779">
                  <w:pPr>
                    <w:autoSpaceDE w:val="0"/>
                    <w:autoSpaceDN w:val="0"/>
                    <w:adjustRightInd w:val="0"/>
                    <w:jc w:val="center"/>
                    <w:rPr>
                      <w:rFonts w:cs="Arial"/>
                      <w:b/>
                      <w:bCs/>
                      <w:color w:val="3333CC"/>
                      <w:sz w:val="43"/>
                      <w:szCs w:val="48"/>
                    </w:rPr>
                  </w:pPr>
                </w:p>
                <w:p w14:paraId="2A36F8F6" w14:textId="77777777" w:rsidR="00845779" w:rsidRDefault="00845779" w:rsidP="00845779">
                  <w:pPr>
                    <w:autoSpaceDE w:val="0"/>
                    <w:autoSpaceDN w:val="0"/>
                    <w:adjustRightInd w:val="0"/>
                    <w:jc w:val="center"/>
                    <w:rPr>
                      <w:rFonts w:cs="Arial"/>
                      <w:b/>
                      <w:bCs/>
                      <w:color w:val="3333CC"/>
                      <w:sz w:val="43"/>
                      <w:szCs w:val="48"/>
                    </w:rPr>
                  </w:pPr>
                </w:p>
                <w:p w14:paraId="19F9BCED" w14:textId="77777777" w:rsidR="00845779" w:rsidRDefault="00845779" w:rsidP="00845779">
                  <w:pPr>
                    <w:autoSpaceDE w:val="0"/>
                    <w:autoSpaceDN w:val="0"/>
                    <w:adjustRightInd w:val="0"/>
                    <w:jc w:val="center"/>
                    <w:rPr>
                      <w:rFonts w:cs="Arial"/>
                      <w:b/>
                      <w:bCs/>
                      <w:color w:val="3333CC"/>
                      <w:sz w:val="43"/>
                      <w:szCs w:val="48"/>
                    </w:rPr>
                  </w:pPr>
                </w:p>
                <w:p w14:paraId="1CD1957C" w14:textId="77777777" w:rsidR="00845779" w:rsidRDefault="00845779" w:rsidP="00845779">
                  <w:pPr>
                    <w:autoSpaceDE w:val="0"/>
                    <w:autoSpaceDN w:val="0"/>
                    <w:adjustRightInd w:val="0"/>
                    <w:jc w:val="center"/>
                    <w:rPr>
                      <w:rFonts w:cs="Arial"/>
                      <w:b/>
                      <w:bCs/>
                      <w:color w:val="3333CC"/>
                      <w:sz w:val="43"/>
                      <w:szCs w:val="48"/>
                    </w:rPr>
                  </w:pPr>
                </w:p>
                <w:p w14:paraId="2F60712B" w14:textId="77777777" w:rsidR="00BB27FF" w:rsidRDefault="00BB27FF" w:rsidP="00845779">
                  <w:pPr>
                    <w:autoSpaceDE w:val="0"/>
                    <w:autoSpaceDN w:val="0"/>
                    <w:adjustRightInd w:val="0"/>
                    <w:jc w:val="center"/>
                    <w:rPr>
                      <w:rFonts w:cs="Arial"/>
                      <w:b/>
                      <w:bCs/>
                      <w:color w:val="3333CC"/>
                      <w:sz w:val="43"/>
                      <w:szCs w:val="48"/>
                    </w:rPr>
                  </w:pPr>
                </w:p>
                <w:p w14:paraId="21E23E2A" w14:textId="77777777" w:rsidR="00845779" w:rsidRPr="00836CF7" w:rsidRDefault="00845779" w:rsidP="00845779">
                  <w:pPr>
                    <w:autoSpaceDE w:val="0"/>
                    <w:autoSpaceDN w:val="0"/>
                    <w:adjustRightInd w:val="0"/>
                    <w:jc w:val="center"/>
                    <w:rPr>
                      <w:rFonts w:cs="Arial"/>
                      <w:b/>
                      <w:bCs/>
                      <w:color w:val="3333CC"/>
                      <w:sz w:val="43"/>
                      <w:szCs w:val="48"/>
                    </w:rPr>
                  </w:pPr>
                  <w:r>
                    <w:rPr>
                      <w:rFonts w:cs="Arial"/>
                      <w:b/>
                      <w:bCs/>
                      <w:color w:val="3333CC"/>
                      <w:sz w:val="43"/>
                      <w:szCs w:val="48"/>
                    </w:rPr>
                    <w:t>DRAFT</w:t>
                  </w:r>
                  <w:r w:rsidRPr="00836CF7">
                    <w:rPr>
                      <w:rFonts w:cs="Arial"/>
                      <w:b/>
                      <w:bCs/>
                      <w:color w:val="3333CC"/>
                      <w:sz w:val="43"/>
                      <w:szCs w:val="48"/>
                    </w:rPr>
                    <w:t xml:space="preserve"> </w:t>
                  </w:r>
                </w:p>
                <w:p w14:paraId="7F7785EE" w14:textId="77777777" w:rsidR="00845779" w:rsidRPr="00836CF7" w:rsidRDefault="00845779" w:rsidP="00845779">
                  <w:pPr>
                    <w:autoSpaceDE w:val="0"/>
                    <w:autoSpaceDN w:val="0"/>
                    <w:adjustRightInd w:val="0"/>
                    <w:jc w:val="center"/>
                    <w:rPr>
                      <w:rFonts w:cs="Arial"/>
                      <w:b/>
                      <w:bCs/>
                      <w:color w:val="3333CC"/>
                      <w:sz w:val="43"/>
                      <w:szCs w:val="48"/>
                    </w:rPr>
                  </w:pPr>
                  <w:r w:rsidRPr="00836CF7">
                    <w:rPr>
                      <w:rFonts w:cs="Arial"/>
                      <w:b/>
                      <w:bCs/>
                      <w:color w:val="3333CC"/>
                      <w:sz w:val="43"/>
                      <w:szCs w:val="48"/>
                    </w:rPr>
                    <w:t xml:space="preserve">INTERNAL AUDIT </w:t>
                  </w:r>
                </w:p>
                <w:p w14:paraId="2759EFE7" w14:textId="77777777" w:rsidR="00845779" w:rsidRDefault="00845779" w:rsidP="00845779">
                  <w:pPr>
                    <w:autoSpaceDE w:val="0"/>
                    <w:autoSpaceDN w:val="0"/>
                    <w:adjustRightInd w:val="0"/>
                    <w:jc w:val="center"/>
                    <w:rPr>
                      <w:rFonts w:cs="Arial"/>
                      <w:b/>
                      <w:bCs/>
                      <w:color w:val="3333CC"/>
                      <w:sz w:val="43"/>
                      <w:szCs w:val="48"/>
                    </w:rPr>
                  </w:pPr>
                  <w:r w:rsidRPr="00836CF7">
                    <w:rPr>
                      <w:rFonts w:cs="Arial"/>
                      <w:b/>
                      <w:bCs/>
                      <w:color w:val="3333CC"/>
                      <w:sz w:val="43"/>
                      <w:szCs w:val="48"/>
                    </w:rPr>
                    <w:t xml:space="preserve">REPORT </w:t>
                  </w:r>
                </w:p>
                <w:p w14:paraId="40552EE2" w14:textId="2661E296" w:rsidR="007D02FD" w:rsidRPr="00836CF7" w:rsidRDefault="001436C3" w:rsidP="00845779">
                  <w:pPr>
                    <w:autoSpaceDE w:val="0"/>
                    <w:autoSpaceDN w:val="0"/>
                    <w:adjustRightInd w:val="0"/>
                    <w:jc w:val="center"/>
                    <w:rPr>
                      <w:rFonts w:cs="Arial"/>
                      <w:b/>
                      <w:bCs/>
                      <w:color w:val="3333CC"/>
                      <w:sz w:val="43"/>
                      <w:szCs w:val="48"/>
                    </w:rPr>
                  </w:pPr>
                  <w:r>
                    <w:rPr>
                      <w:rFonts w:cs="Arial"/>
                      <w:b/>
                      <w:bCs/>
                      <w:color w:val="3333CC"/>
                      <w:sz w:val="43"/>
                      <w:szCs w:val="48"/>
                    </w:rPr>
                    <w:t>SRBC</w:t>
                  </w:r>
                  <w:r w:rsidR="007D02FD">
                    <w:rPr>
                      <w:rFonts w:cs="Arial"/>
                      <w:b/>
                      <w:bCs/>
                      <w:color w:val="3333CC"/>
                      <w:sz w:val="43"/>
                      <w:szCs w:val="48"/>
                    </w:rPr>
                    <w:t xml:space="preserve"> </w:t>
                  </w:r>
                  <w:r>
                    <w:rPr>
                      <w:rFonts w:cs="Arial"/>
                      <w:b/>
                      <w:bCs/>
                      <w:color w:val="3333CC"/>
                      <w:sz w:val="43"/>
                      <w:szCs w:val="48"/>
                    </w:rPr>
                    <w:t>17</w:t>
                  </w:r>
                  <w:r w:rsidR="007D02FD">
                    <w:rPr>
                      <w:rFonts w:cs="Arial"/>
                      <w:b/>
                      <w:bCs/>
                      <w:color w:val="3333CC"/>
                      <w:sz w:val="43"/>
                      <w:szCs w:val="48"/>
                    </w:rPr>
                    <w:t>/19-20</w:t>
                  </w:r>
                </w:p>
                <w:p w14:paraId="1EF47643" w14:textId="77777777" w:rsidR="00845779" w:rsidRPr="00836CF7" w:rsidRDefault="00845779" w:rsidP="00845779">
                  <w:pPr>
                    <w:autoSpaceDE w:val="0"/>
                    <w:autoSpaceDN w:val="0"/>
                    <w:adjustRightInd w:val="0"/>
                    <w:jc w:val="center"/>
                    <w:rPr>
                      <w:rFonts w:cs="Arial"/>
                      <w:b/>
                      <w:bCs/>
                      <w:color w:val="3333CC"/>
                      <w:sz w:val="43"/>
                      <w:szCs w:val="48"/>
                    </w:rPr>
                  </w:pPr>
                </w:p>
                <w:p w14:paraId="51D1376E" w14:textId="77777777" w:rsidR="00D854CC" w:rsidRDefault="00D854CC" w:rsidP="009C4033">
                  <w:pPr>
                    <w:autoSpaceDE w:val="0"/>
                    <w:autoSpaceDN w:val="0"/>
                    <w:adjustRightInd w:val="0"/>
                    <w:jc w:val="center"/>
                    <w:rPr>
                      <w:rFonts w:cs="Arial"/>
                      <w:b/>
                      <w:bCs/>
                      <w:color w:val="3333CC"/>
                      <w:sz w:val="43"/>
                      <w:szCs w:val="48"/>
                    </w:rPr>
                  </w:pPr>
                  <w:r>
                    <w:rPr>
                      <w:rFonts w:cs="Arial"/>
                      <w:b/>
                      <w:bCs/>
                      <w:color w:val="3333CC"/>
                      <w:sz w:val="43"/>
                      <w:szCs w:val="48"/>
                    </w:rPr>
                    <w:t xml:space="preserve">PROCUREMENT </w:t>
                  </w:r>
                </w:p>
                <w:p w14:paraId="236999DF" w14:textId="7B4FEEC6" w:rsidR="009C4033" w:rsidRPr="00D854CC" w:rsidRDefault="00D854CC" w:rsidP="009C4033">
                  <w:pPr>
                    <w:autoSpaceDE w:val="0"/>
                    <w:autoSpaceDN w:val="0"/>
                    <w:adjustRightInd w:val="0"/>
                    <w:jc w:val="center"/>
                    <w:rPr>
                      <w:rFonts w:cs="Arial"/>
                      <w:b/>
                      <w:bCs/>
                      <w:color w:val="3333CC"/>
                      <w:sz w:val="36"/>
                      <w:szCs w:val="36"/>
                    </w:rPr>
                  </w:pPr>
                  <w:r w:rsidRPr="00D854CC">
                    <w:rPr>
                      <w:rFonts w:cs="Arial"/>
                      <w:b/>
                      <w:bCs/>
                      <w:color w:val="3333CC"/>
                      <w:sz w:val="36"/>
                      <w:szCs w:val="36"/>
                    </w:rPr>
                    <w:t>(</w:t>
                  </w:r>
                  <w:r w:rsidR="001436C3" w:rsidRPr="00D854CC">
                    <w:rPr>
                      <w:rFonts w:cs="Arial"/>
                      <w:b/>
                      <w:bCs/>
                      <w:color w:val="3333CC"/>
                      <w:sz w:val="36"/>
                      <w:szCs w:val="36"/>
                    </w:rPr>
                    <w:t xml:space="preserve">UTILITIES </w:t>
                  </w:r>
                  <w:r w:rsidRPr="00D854CC">
                    <w:rPr>
                      <w:rFonts w:cs="Arial"/>
                      <w:b/>
                      <w:bCs/>
                      <w:color w:val="3333CC"/>
                      <w:sz w:val="36"/>
                      <w:szCs w:val="36"/>
                    </w:rPr>
                    <w:t xml:space="preserve">&amp; OTHER </w:t>
                  </w:r>
                  <w:r w:rsidR="001436C3" w:rsidRPr="00D854CC">
                    <w:rPr>
                      <w:rFonts w:cs="Arial"/>
                      <w:b/>
                      <w:bCs/>
                      <w:color w:val="3333CC"/>
                      <w:sz w:val="36"/>
                      <w:szCs w:val="36"/>
                    </w:rPr>
                    <w:t>CONTRACT</w:t>
                  </w:r>
                  <w:r w:rsidRPr="00D854CC">
                    <w:rPr>
                      <w:rFonts w:cs="Arial"/>
                      <w:b/>
                      <w:bCs/>
                      <w:color w:val="3333CC"/>
                      <w:sz w:val="36"/>
                      <w:szCs w:val="36"/>
                    </w:rPr>
                    <w:t>S)</w:t>
                  </w:r>
                </w:p>
                <w:p w14:paraId="3E916FD1" w14:textId="77777777" w:rsidR="0034269A" w:rsidRDefault="0034269A" w:rsidP="00391174">
                  <w:pPr>
                    <w:autoSpaceDE w:val="0"/>
                    <w:autoSpaceDN w:val="0"/>
                    <w:adjustRightInd w:val="0"/>
                    <w:jc w:val="center"/>
                  </w:pPr>
                </w:p>
              </w:tc>
            </w:tr>
          </w:tbl>
          <w:p w14:paraId="5587BBBB" w14:textId="77777777" w:rsidR="0034269A" w:rsidRDefault="0034269A" w:rsidP="00584DAB">
            <w:pPr>
              <w:tabs>
                <w:tab w:val="left" w:pos="2445"/>
              </w:tabs>
            </w:pPr>
            <w:r>
              <w:tab/>
            </w:r>
          </w:p>
          <w:p w14:paraId="5339E600" w14:textId="77777777" w:rsidR="0034269A" w:rsidRDefault="0034269A" w:rsidP="00584DAB">
            <w:pPr>
              <w:tabs>
                <w:tab w:val="left" w:pos="2445"/>
              </w:tabs>
            </w:pPr>
          </w:p>
          <w:p w14:paraId="6F396B82" w14:textId="77777777" w:rsidR="0034269A" w:rsidRDefault="0034269A" w:rsidP="00584DAB">
            <w:pPr>
              <w:tabs>
                <w:tab w:val="left" w:pos="2445"/>
              </w:tabs>
            </w:pPr>
          </w:p>
          <w:p w14:paraId="08DE4E72" w14:textId="77777777" w:rsidR="009932C2" w:rsidRDefault="009932C2" w:rsidP="00584DAB">
            <w:pPr>
              <w:tabs>
                <w:tab w:val="left" w:pos="2445"/>
              </w:tabs>
            </w:pPr>
          </w:p>
          <w:p w14:paraId="53741466" w14:textId="77777777" w:rsidR="0034269A" w:rsidRDefault="0034269A" w:rsidP="00584DAB">
            <w:pPr>
              <w:tabs>
                <w:tab w:val="left" w:pos="2445"/>
              </w:tabs>
            </w:pPr>
          </w:p>
          <w:p w14:paraId="273F749C" w14:textId="77777777" w:rsidR="0034269A" w:rsidRDefault="0034269A" w:rsidP="00584DAB">
            <w:pPr>
              <w:tabs>
                <w:tab w:val="left" w:pos="2445"/>
              </w:tabs>
            </w:pPr>
          </w:p>
          <w:p w14:paraId="48693932" w14:textId="77777777" w:rsidR="0034269A" w:rsidRDefault="0034269A" w:rsidP="00584DAB"/>
          <w:tbl>
            <w:tblPr>
              <w:tblpPr w:leftFromText="180" w:rightFromText="180" w:vertAnchor="text" w:horzAnchor="margin" w:tblpY="1720"/>
              <w:tblOverlap w:val="never"/>
              <w:tblW w:w="0" w:type="auto"/>
              <w:tblLook w:val="04A0" w:firstRow="1" w:lastRow="0" w:firstColumn="1" w:lastColumn="0" w:noHBand="0" w:noVBand="1"/>
            </w:tblPr>
            <w:tblGrid>
              <w:gridCol w:w="4800"/>
              <w:gridCol w:w="4801"/>
            </w:tblGrid>
            <w:tr w:rsidR="0034269A" w14:paraId="7B832CA6" w14:textId="77777777" w:rsidTr="00BB27FF">
              <w:trPr>
                <w:trHeight w:val="1756"/>
              </w:trPr>
              <w:tc>
                <w:tcPr>
                  <w:tcW w:w="4800" w:type="dxa"/>
                  <w:shd w:val="clear" w:color="auto" w:fill="auto"/>
                </w:tcPr>
                <w:p w14:paraId="07C419AB" w14:textId="77777777" w:rsidR="0034269A" w:rsidRDefault="0034269A" w:rsidP="00584DAB">
                  <w:pPr>
                    <w:tabs>
                      <w:tab w:val="left" w:pos="2445"/>
                    </w:tabs>
                  </w:pPr>
                </w:p>
                <w:p w14:paraId="09197B2F" w14:textId="77777777" w:rsidR="0034269A" w:rsidRDefault="0034269A" w:rsidP="00584DAB">
                  <w:pPr>
                    <w:tabs>
                      <w:tab w:val="left" w:pos="2445"/>
                    </w:tabs>
                  </w:pPr>
                </w:p>
                <w:p w14:paraId="6A98E61E" w14:textId="77777777" w:rsidR="0020024F" w:rsidRDefault="0020024F" w:rsidP="008475A7">
                  <w:pPr>
                    <w:tabs>
                      <w:tab w:val="left" w:pos="2445"/>
                    </w:tabs>
                  </w:pPr>
                  <w:bookmarkStart w:id="0" w:name="_GoBack"/>
                  <w:bookmarkEnd w:id="0"/>
                </w:p>
              </w:tc>
              <w:tc>
                <w:tcPr>
                  <w:tcW w:w="4801" w:type="dxa"/>
                  <w:shd w:val="clear" w:color="auto" w:fill="auto"/>
                </w:tcPr>
                <w:p w14:paraId="06C0F786" w14:textId="398DBFD2" w:rsidR="0034269A" w:rsidRDefault="008475A7" w:rsidP="00584DAB">
                  <w:pPr>
                    <w:tabs>
                      <w:tab w:val="left" w:pos="2445"/>
                    </w:tabs>
                    <w:jc w:val="right"/>
                    <w:rPr>
                      <w:rFonts w:eastAsia="Arial"/>
                      <w:noProof/>
                    </w:rPr>
                  </w:pPr>
                  <w:r w:rsidRPr="00E26FAE">
                    <w:rPr>
                      <w:rFonts w:ascii="Calibri" w:eastAsia="Calibri" w:hAnsi="Calibri"/>
                      <w:noProof/>
                    </w:rPr>
                    <mc:AlternateContent>
                      <mc:Choice Requires="wps">
                        <w:drawing>
                          <wp:anchor distT="0" distB="0" distL="114300" distR="114300" simplePos="0" relativeHeight="251658241" behindDoc="0" locked="0" layoutInCell="1" allowOverlap="1" wp14:anchorId="2253B560" wp14:editId="608DF54B">
                            <wp:simplePos x="0" y="0"/>
                            <wp:positionH relativeFrom="column">
                              <wp:posOffset>-97790</wp:posOffset>
                            </wp:positionH>
                            <wp:positionV relativeFrom="paragraph">
                              <wp:posOffset>-596900</wp:posOffset>
                            </wp:positionV>
                            <wp:extent cx="3021330" cy="1200150"/>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3021330" cy="1200150"/>
                                    </a:xfrm>
                                    <a:prstGeom prst="rect">
                                      <a:avLst/>
                                    </a:prstGeom>
                                    <a:noFill/>
                                    <a:ln w="6350">
                                      <a:noFill/>
                                    </a:ln>
                                    <a:effectLst/>
                                  </wps:spPr>
                                  <wps:txbx>
                                    <w:txbxContent>
                                      <w:p w14:paraId="3A484435" w14:textId="77777777" w:rsidR="008475A7" w:rsidRPr="00E26FAE" w:rsidRDefault="008475A7" w:rsidP="008475A7">
                                        <w:pPr>
                                          <w:rPr>
                                            <w:rFonts w:asciiTheme="minorHAnsi" w:hAnsiTheme="minorHAnsi"/>
                                            <w:b/>
                                            <w:sz w:val="26"/>
                                            <w:szCs w:val="26"/>
                                          </w:rPr>
                                        </w:pPr>
                                        <w:r w:rsidRPr="00E26FAE">
                                          <w:rPr>
                                            <w:rFonts w:asciiTheme="minorHAnsi" w:hAnsiTheme="minorHAnsi"/>
                                            <w:b/>
                                            <w:sz w:val="26"/>
                                            <w:szCs w:val="26"/>
                                          </w:rPr>
                                          <w:t>Janice Bamber</w:t>
                                        </w:r>
                                      </w:p>
                                      <w:p w14:paraId="016D6E03" w14:textId="77777777" w:rsidR="008475A7" w:rsidRDefault="008475A7" w:rsidP="008475A7">
                                        <w:pPr>
                                          <w:rPr>
                                            <w:rFonts w:asciiTheme="minorHAnsi" w:hAnsiTheme="minorHAnsi"/>
                                            <w:b/>
                                            <w:sz w:val="26"/>
                                            <w:szCs w:val="26"/>
                                          </w:rPr>
                                        </w:pPr>
                                        <w:r w:rsidRPr="00E26FAE">
                                          <w:rPr>
                                            <w:rFonts w:asciiTheme="minorHAnsi" w:hAnsiTheme="minorHAnsi"/>
                                            <w:b/>
                                            <w:sz w:val="26"/>
                                            <w:szCs w:val="26"/>
                                          </w:rPr>
                                          <w:t>Interim Head of Shared Assurance</w:t>
                                        </w:r>
                                      </w:p>
                                      <w:p w14:paraId="188D0050" w14:textId="775F75AE" w:rsidR="008475A7" w:rsidRDefault="008475A7" w:rsidP="008475A7">
                                        <w:pPr>
                                          <w:rPr>
                                            <w:rFonts w:asciiTheme="minorHAnsi" w:hAnsiTheme="minorHAnsi"/>
                                            <w:b/>
                                            <w:sz w:val="26"/>
                                            <w:szCs w:val="26"/>
                                          </w:rPr>
                                        </w:pPr>
                                        <w:r>
                                          <w:rPr>
                                            <w:rFonts w:asciiTheme="minorHAnsi" w:hAnsiTheme="minorHAnsi"/>
                                            <w:b/>
                                            <w:sz w:val="26"/>
                                            <w:szCs w:val="26"/>
                                          </w:rPr>
                                          <w:t>Auditor : Brian Welch</w:t>
                                        </w:r>
                                      </w:p>
                                      <w:p w14:paraId="5E222AE0" w14:textId="77777777" w:rsidR="008475A7" w:rsidRPr="00E26FAE" w:rsidRDefault="008475A7" w:rsidP="008475A7">
                                        <w:pPr>
                                          <w:rPr>
                                            <w:rFonts w:asciiTheme="minorHAnsi" w:hAnsiTheme="minorHAnsi"/>
                                            <w:b/>
                                            <w:sz w:val="26"/>
                                            <w:szCs w:val="26"/>
                                          </w:rPr>
                                        </w:pPr>
                                        <w:r>
                                          <w:rPr>
                                            <w:rFonts w:asciiTheme="minorHAnsi" w:hAnsiTheme="minorHAnsi"/>
                                            <w:b/>
                                            <w:sz w:val="26"/>
                                            <w:szCs w:val="26"/>
                                          </w:rPr>
                                          <w:t>3</w:t>
                                        </w:r>
                                        <w:r w:rsidRPr="00D26377">
                                          <w:rPr>
                                            <w:rFonts w:asciiTheme="minorHAnsi" w:hAnsiTheme="minorHAnsi"/>
                                            <w:b/>
                                            <w:sz w:val="26"/>
                                            <w:szCs w:val="26"/>
                                            <w:vertAlign w:val="superscript"/>
                                          </w:rPr>
                                          <w:t>rd</w:t>
                                        </w:r>
                                        <w:r>
                                          <w:rPr>
                                            <w:rFonts w:asciiTheme="minorHAnsi" w:hAnsiTheme="minorHAnsi"/>
                                            <w:b/>
                                            <w:sz w:val="26"/>
                                            <w:szCs w:val="26"/>
                                          </w:rPr>
                                          <w:t xml:space="preserve"> June 2020</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3B560" id="_x0000_t202" coordsize="21600,21600" o:spt="202" path="m,l,21600r21600,l21600,xe">
                            <v:stroke joinstyle="miter"/>
                            <v:path gradientshapeok="t" o:connecttype="rect"/>
                          </v:shapetype>
                          <v:shape id="Text Box 200" o:spid="_x0000_s1026" type="#_x0000_t202" style="position:absolute;left:0;text-align:left;margin-left:-7.7pt;margin-top:-47pt;width:237.9pt;height:9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" filled="f" stroked="f" strokeweight=".5pt">
                            <v:textbox inset=",7.2pt,,0">
                              <w:txbxContent>
                                <w:p w14:paraId="3A484435" w14:textId="77777777" w:rsidR="008475A7" w:rsidRPr="00E26FAE" w:rsidRDefault="008475A7" w:rsidP="008475A7">
                                  <w:pPr>
                                    <w:rPr>
                                      <w:rFonts w:asciiTheme="minorHAnsi" w:hAnsiTheme="minorHAnsi"/>
                                      <w:b/>
                                      <w:sz w:val="26"/>
                                      <w:szCs w:val="26"/>
                                    </w:rPr>
                                  </w:pPr>
                                  <w:r w:rsidRPr="00E26FAE">
                                    <w:rPr>
                                      <w:rFonts w:asciiTheme="minorHAnsi" w:hAnsiTheme="minorHAnsi"/>
                                      <w:b/>
                                      <w:sz w:val="26"/>
                                      <w:szCs w:val="26"/>
                                    </w:rPr>
                                    <w:t>Janice Bamber</w:t>
                                  </w:r>
                                </w:p>
                                <w:p w14:paraId="016D6E03" w14:textId="77777777" w:rsidR="008475A7" w:rsidRDefault="008475A7" w:rsidP="008475A7">
                                  <w:pPr>
                                    <w:rPr>
                                      <w:rFonts w:asciiTheme="minorHAnsi" w:hAnsiTheme="minorHAnsi"/>
                                      <w:b/>
                                      <w:sz w:val="26"/>
                                      <w:szCs w:val="26"/>
                                    </w:rPr>
                                  </w:pPr>
                                  <w:r w:rsidRPr="00E26FAE">
                                    <w:rPr>
                                      <w:rFonts w:asciiTheme="minorHAnsi" w:hAnsiTheme="minorHAnsi"/>
                                      <w:b/>
                                      <w:sz w:val="26"/>
                                      <w:szCs w:val="26"/>
                                    </w:rPr>
                                    <w:t>Interim Head of Shared Assurance</w:t>
                                  </w:r>
                                </w:p>
                                <w:p w14:paraId="188D0050" w14:textId="775F75AE" w:rsidR="008475A7" w:rsidRDefault="008475A7" w:rsidP="008475A7">
                                  <w:pPr>
                                    <w:rPr>
                                      <w:rFonts w:asciiTheme="minorHAnsi" w:hAnsiTheme="minorHAnsi"/>
                                      <w:b/>
                                      <w:sz w:val="26"/>
                                      <w:szCs w:val="26"/>
                                    </w:rPr>
                                  </w:pPr>
                                  <w:r>
                                    <w:rPr>
                                      <w:rFonts w:asciiTheme="minorHAnsi" w:hAnsiTheme="minorHAnsi"/>
                                      <w:b/>
                                      <w:sz w:val="26"/>
                                      <w:szCs w:val="26"/>
                                    </w:rPr>
                                    <w:t>Auditor : Brian Welch</w:t>
                                  </w:r>
                                </w:p>
                                <w:p w14:paraId="5E222AE0" w14:textId="77777777" w:rsidR="008475A7" w:rsidRPr="00E26FAE" w:rsidRDefault="008475A7" w:rsidP="008475A7">
                                  <w:pPr>
                                    <w:rPr>
                                      <w:rFonts w:asciiTheme="minorHAnsi" w:hAnsiTheme="minorHAnsi"/>
                                      <w:b/>
                                      <w:sz w:val="26"/>
                                      <w:szCs w:val="26"/>
                                    </w:rPr>
                                  </w:pPr>
                                  <w:r>
                                    <w:rPr>
                                      <w:rFonts w:asciiTheme="minorHAnsi" w:hAnsiTheme="minorHAnsi"/>
                                      <w:b/>
                                      <w:sz w:val="26"/>
                                      <w:szCs w:val="26"/>
                                    </w:rPr>
                                    <w:t>3</w:t>
                                  </w:r>
                                  <w:r w:rsidRPr="00D26377">
                                    <w:rPr>
                                      <w:rFonts w:asciiTheme="minorHAnsi" w:hAnsiTheme="minorHAnsi"/>
                                      <w:b/>
                                      <w:sz w:val="26"/>
                                      <w:szCs w:val="26"/>
                                      <w:vertAlign w:val="superscript"/>
                                    </w:rPr>
                                    <w:t>rd</w:t>
                                  </w:r>
                                  <w:r>
                                    <w:rPr>
                                      <w:rFonts w:asciiTheme="minorHAnsi" w:hAnsiTheme="minorHAnsi"/>
                                      <w:b/>
                                      <w:sz w:val="26"/>
                                      <w:szCs w:val="26"/>
                                    </w:rPr>
                                    <w:t xml:space="preserve"> June 2020</w:t>
                                  </w:r>
                                </w:p>
                              </w:txbxContent>
                            </v:textbox>
                          </v:shape>
                        </w:pict>
                      </mc:Fallback>
                    </mc:AlternateContent>
                  </w:r>
                </w:p>
                <w:p w14:paraId="33E4955D" w14:textId="77777777" w:rsidR="00DA2B27" w:rsidRDefault="00DA2B27" w:rsidP="00584DAB">
                  <w:pPr>
                    <w:tabs>
                      <w:tab w:val="left" w:pos="2445"/>
                    </w:tabs>
                    <w:jc w:val="right"/>
                    <w:rPr>
                      <w:rFonts w:eastAsia="Arial"/>
                      <w:lang w:eastAsia="en-US"/>
                    </w:rPr>
                  </w:pPr>
                </w:p>
                <w:p w14:paraId="6342E7C6" w14:textId="77777777" w:rsidR="00DA2B27" w:rsidRDefault="00DA2B27" w:rsidP="00584DAB">
                  <w:pPr>
                    <w:tabs>
                      <w:tab w:val="left" w:pos="2445"/>
                    </w:tabs>
                    <w:jc w:val="right"/>
                    <w:rPr>
                      <w:rFonts w:eastAsia="Arial"/>
                      <w:lang w:eastAsia="en-US"/>
                    </w:rPr>
                  </w:pPr>
                </w:p>
                <w:p w14:paraId="18C292B7" w14:textId="77777777" w:rsidR="00DA2B27" w:rsidRDefault="00DA2B27" w:rsidP="00584DAB">
                  <w:pPr>
                    <w:tabs>
                      <w:tab w:val="left" w:pos="2445"/>
                    </w:tabs>
                    <w:jc w:val="right"/>
                  </w:pPr>
                </w:p>
              </w:tc>
            </w:tr>
          </w:tbl>
          <w:p w14:paraId="7254E904" w14:textId="203ED479" w:rsidR="0034269A" w:rsidRPr="00B115E5" w:rsidRDefault="008475A7" w:rsidP="00584DAB">
            <w:pPr>
              <w:rPr>
                <w:vanish/>
                <w:specVanish/>
              </w:rPr>
            </w:pPr>
            <w:r w:rsidRPr="00E26FAE">
              <w:rPr>
                <w:rFonts w:ascii="Calibri" w:eastAsia="Calibri" w:hAnsi="Calibri"/>
                <w:noProof/>
              </w:rPr>
              <mc:AlternateContent>
                <mc:Choice Requires="wps">
                  <w:drawing>
                    <wp:anchor distT="0" distB="0" distL="114300" distR="114300" simplePos="0" relativeHeight="251658240" behindDoc="0" locked="0" layoutInCell="1" allowOverlap="1" wp14:anchorId="3E6BA302" wp14:editId="40C4C068">
                      <wp:simplePos x="0" y="0"/>
                      <wp:positionH relativeFrom="column">
                        <wp:posOffset>2961640</wp:posOffset>
                      </wp:positionH>
                      <wp:positionV relativeFrom="paragraph">
                        <wp:posOffset>57785</wp:posOffset>
                      </wp:positionV>
                      <wp:extent cx="3021907" cy="270528"/>
                      <wp:effectExtent l="0" t="0" r="0" b="0"/>
                      <wp:wrapNone/>
                      <wp:docPr id="199" name="Rectangle 199"/>
                      <wp:cNvGraphicFramePr/>
                      <a:graphic xmlns:a="http://schemas.openxmlformats.org/drawingml/2006/main">
                        <a:graphicData uri="http://schemas.microsoft.com/office/word/2010/wordprocessingShape">
                          <wps:wsp>
                            <wps:cNvSpPr/>
                            <wps:spPr>
                              <a:xfrm>
                                <a:off x="0" y="0"/>
                                <a:ext cx="3021907" cy="270528"/>
                              </a:xfrm>
                              <a:prstGeom prst="rect">
                                <a:avLst/>
                              </a:prstGeom>
                              <a:solidFill>
                                <a:srgbClr val="5B9BD5"/>
                              </a:solidFill>
                              <a:ln w="12700">
                                <a:noFill/>
                                <a:miter lim="800000"/>
                              </a:ln>
                              <a:effectLst/>
                            </wps:spPr>
                            <wps:txbx>
                              <w:txbxContent>
                                <w:p w14:paraId="1CD4DEB0" w14:textId="77777777" w:rsidR="008475A7" w:rsidRPr="00E26FAE" w:rsidRDefault="008475A7" w:rsidP="008475A7">
                                  <w:pPr>
                                    <w:jc w:val="center"/>
                                    <w:rPr>
                                      <w:rFonts w:ascii="Calibri Light" w:hAnsi="Calibri Light"/>
                                      <w:b/>
                                      <w:sz w:val="28"/>
                                      <w:szCs w:val="28"/>
                                    </w:rPr>
                                  </w:pPr>
                                  <w:r w:rsidRPr="00E26FAE">
                                    <w:rPr>
                                      <w:rFonts w:ascii="Calibri Light" w:hAnsi="Calibri Light"/>
                                      <w:b/>
                                      <w:sz w:val="28"/>
                                      <w:szCs w:val="28"/>
                                    </w:rPr>
                                    <w:t>Author &amp; Date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E6BA302" id="Rectangle 199" o:spid="_x0000_s1027" style="position:absolute;margin-left:233.2pt;margin-top:4.55pt;width:237.95pt;height:2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" fillcolor="#5b9bd5" stroked="f" strokeweight="1pt">
                      <v:textbox>
                        <w:txbxContent>
                          <w:p w14:paraId="1CD4DEB0" w14:textId="77777777" w:rsidR="008475A7" w:rsidRPr="00E26FAE" w:rsidRDefault="008475A7" w:rsidP="008475A7">
                            <w:pPr>
                              <w:jc w:val="center"/>
                              <w:rPr>
                                <w:rFonts w:ascii="Calibri Light" w:hAnsi="Calibri Light"/>
                                <w:b/>
                                <w:sz w:val="28"/>
                                <w:szCs w:val="28"/>
                              </w:rPr>
                            </w:pPr>
                            <w:r w:rsidRPr="00E26FAE">
                              <w:rPr>
                                <w:rFonts w:ascii="Calibri Light" w:hAnsi="Calibri Light"/>
                                <w:b/>
                                <w:sz w:val="28"/>
                                <w:szCs w:val="28"/>
                              </w:rPr>
                              <w:t>Author &amp; Date</w:t>
                            </w:r>
                          </w:p>
                        </w:txbxContent>
                      </v:textbox>
                    </v:rect>
                  </w:pict>
                </mc:Fallback>
              </mc:AlternateContent>
            </w:r>
          </w:p>
          <w:p w14:paraId="3E7C4374" w14:textId="77777777" w:rsidR="00BB27FF" w:rsidRDefault="0034269A" w:rsidP="00584DAB">
            <w:r>
              <w:t xml:space="preserve">                      </w:t>
            </w:r>
          </w:p>
          <w:p w14:paraId="40347C80" w14:textId="77777777" w:rsidR="00BB27FF" w:rsidRDefault="00BB27FF" w:rsidP="00584DAB"/>
          <w:p w14:paraId="38991FA7" w14:textId="77777777" w:rsidR="00BB27FF" w:rsidRDefault="00BB27FF" w:rsidP="00584DAB"/>
          <w:p w14:paraId="65602BBF" w14:textId="77777777" w:rsidR="00BB27FF" w:rsidRDefault="00BB27FF" w:rsidP="00584DAB"/>
          <w:p w14:paraId="357B35AC" w14:textId="77777777" w:rsidR="00BB27FF" w:rsidRDefault="00BB27FF" w:rsidP="00584DAB"/>
          <w:p w14:paraId="52C6E7EB" w14:textId="4DE5DABE" w:rsidR="0034269A" w:rsidRDefault="0034269A" w:rsidP="008475A7">
            <w:pPr>
              <w:tabs>
                <w:tab w:val="left" w:pos="6795"/>
              </w:tabs>
            </w:pPr>
            <w:r>
              <w:t xml:space="preserve">                                                                            </w:t>
            </w:r>
            <w:r w:rsidR="008475A7">
              <w:tab/>
            </w:r>
          </w:p>
          <w:p w14:paraId="33BBF372" w14:textId="77777777" w:rsidR="0034269A" w:rsidRPr="00774BEB" w:rsidRDefault="0034269A" w:rsidP="00584DAB">
            <w:r>
              <w:t xml:space="preserve">              </w:t>
            </w:r>
          </w:p>
        </w:tc>
      </w:tr>
    </w:tbl>
    <w:p w14:paraId="11BD0C11" w14:textId="77777777" w:rsidR="00A82697" w:rsidRDefault="00A82697"/>
    <w:tbl>
      <w:tblPr>
        <w:tblW w:w="1077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E03413" w:rsidRPr="00D30D54" w14:paraId="5B9386F1" w14:textId="77777777" w:rsidTr="001F399C">
        <w:tc>
          <w:tcPr>
            <w:tcW w:w="851" w:type="dxa"/>
            <w:tcBorders>
              <w:bottom w:val="single" w:sz="6" w:space="0" w:color="auto"/>
            </w:tcBorders>
            <w:shd w:val="clear" w:color="auto" w:fill="B8CCE4" w:themeFill="accent1" w:themeFillTint="66"/>
          </w:tcPr>
          <w:p w14:paraId="1C84B0EF" w14:textId="77777777" w:rsidR="00E03413" w:rsidRPr="00D30D54" w:rsidRDefault="00E03413" w:rsidP="006B7445">
            <w:pPr>
              <w:jc w:val="center"/>
              <w:rPr>
                <w:b/>
              </w:rPr>
            </w:pPr>
            <w:r>
              <w:rPr>
                <w:b/>
              </w:rPr>
              <w:t>1</w:t>
            </w:r>
          </w:p>
        </w:tc>
        <w:tc>
          <w:tcPr>
            <w:tcW w:w="9922" w:type="dxa"/>
            <w:tcBorders>
              <w:bottom w:val="single" w:sz="6" w:space="0" w:color="auto"/>
            </w:tcBorders>
            <w:shd w:val="clear" w:color="auto" w:fill="B8CCE4" w:themeFill="accent1" w:themeFillTint="66"/>
          </w:tcPr>
          <w:p w14:paraId="2984829D" w14:textId="77777777" w:rsidR="00E03413" w:rsidRPr="00D30D54" w:rsidRDefault="00E03413" w:rsidP="00E03413">
            <w:pPr>
              <w:rPr>
                <w:b/>
              </w:rPr>
            </w:pPr>
            <w:r>
              <w:rPr>
                <w:b/>
              </w:rPr>
              <w:t xml:space="preserve">REASONS FOR </w:t>
            </w:r>
            <w:r w:rsidRPr="007C7652">
              <w:rPr>
                <w:b/>
              </w:rPr>
              <w:t>AUDIT /  SCOPE</w:t>
            </w:r>
            <w:r w:rsidRPr="00D30D54">
              <w:rPr>
                <w:b/>
              </w:rPr>
              <w:t xml:space="preserve"> </w:t>
            </w:r>
          </w:p>
        </w:tc>
      </w:tr>
      <w:tr w:rsidR="00E03413" w:rsidRPr="00D30D54" w14:paraId="23E2F72D" w14:textId="77777777" w:rsidTr="001A2585">
        <w:tc>
          <w:tcPr>
            <w:tcW w:w="851" w:type="dxa"/>
            <w:tcBorders>
              <w:top w:val="single" w:sz="6" w:space="0" w:color="auto"/>
              <w:bottom w:val="nil"/>
            </w:tcBorders>
          </w:tcPr>
          <w:p w14:paraId="6514FDC7" w14:textId="3CC81E71" w:rsidR="00D854CC" w:rsidRDefault="00E03413" w:rsidP="001A2585">
            <w:pPr>
              <w:spacing w:before="120" w:after="120"/>
              <w:jc w:val="center"/>
              <w:rPr>
                <w:sz w:val="20"/>
                <w:szCs w:val="20"/>
              </w:rPr>
            </w:pPr>
            <w:r w:rsidRPr="00F31D31">
              <w:rPr>
                <w:sz w:val="20"/>
                <w:szCs w:val="20"/>
              </w:rPr>
              <w:t>1.1</w:t>
            </w:r>
          </w:p>
          <w:p w14:paraId="20F6B006" w14:textId="77777777" w:rsidR="00D854CC" w:rsidRDefault="00D854CC" w:rsidP="001A2585">
            <w:pPr>
              <w:spacing w:before="120" w:after="120"/>
              <w:jc w:val="center"/>
              <w:rPr>
                <w:sz w:val="20"/>
                <w:szCs w:val="20"/>
              </w:rPr>
            </w:pPr>
          </w:p>
          <w:p w14:paraId="64A9E77B" w14:textId="1A4A16A1" w:rsidR="005A32F3" w:rsidRPr="001641C4" w:rsidRDefault="005A32F3" w:rsidP="001A2585">
            <w:pPr>
              <w:spacing w:before="120" w:after="120"/>
              <w:jc w:val="center"/>
              <w:rPr>
                <w:sz w:val="20"/>
                <w:szCs w:val="20"/>
              </w:rPr>
            </w:pPr>
          </w:p>
        </w:tc>
        <w:tc>
          <w:tcPr>
            <w:tcW w:w="9922" w:type="dxa"/>
            <w:tcBorders>
              <w:top w:val="single" w:sz="6" w:space="0" w:color="auto"/>
              <w:bottom w:val="nil"/>
            </w:tcBorders>
          </w:tcPr>
          <w:p w14:paraId="6EC8AEB3" w14:textId="2752D902" w:rsidR="001641C4" w:rsidRPr="00C46C9D" w:rsidRDefault="00D854CC" w:rsidP="005A32F3">
            <w:pPr>
              <w:spacing w:before="120" w:after="120"/>
              <w:rPr>
                <w:rFonts w:cs="Arial"/>
                <w:iCs/>
                <w:sz w:val="20"/>
                <w:szCs w:val="20"/>
              </w:rPr>
            </w:pPr>
            <w:r>
              <w:rPr>
                <w:sz w:val="20"/>
                <w:szCs w:val="20"/>
              </w:rPr>
              <w:t>The Audit Plan for 2019/20 included a review of Procurement for both South Ribble BC and Chorley BC, it was determined that as the risks identified were different at each Council separate reviews would be undertaken focussing on different areas.  In respect of South Ribble BC it was agreed with the S151 officer that the scope would focus on compliance with Contract Procedure Rules and Financial Procedure Rules.</w:t>
            </w:r>
          </w:p>
        </w:tc>
      </w:tr>
      <w:tr w:rsidR="001A2585" w:rsidRPr="00D30D54" w14:paraId="77ED02B9" w14:textId="77777777" w:rsidTr="001F399C">
        <w:tc>
          <w:tcPr>
            <w:tcW w:w="851" w:type="dxa"/>
            <w:tcBorders>
              <w:top w:val="nil"/>
              <w:bottom w:val="nil"/>
            </w:tcBorders>
          </w:tcPr>
          <w:p w14:paraId="68BBCC02" w14:textId="28091549" w:rsidR="001A2585" w:rsidRPr="00F31D31" w:rsidRDefault="001A2585" w:rsidP="001A2585">
            <w:pPr>
              <w:spacing w:before="120" w:after="120"/>
              <w:jc w:val="center"/>
              <w:rPr>
                <w:sz w:val="20"/>
                <w:szCs w:val="20"/>
              </w:rPr>
            </w:pPr>
            <w:r>
              <w:rPr>
                <w:sz w:val="20"/>
                <w:szCs w:val="20"/>
              </w:rPr>
              <w:t>1.2</w:t>
            </w:r>
          </w:p>
        </w:tc>
        <w:tc>
          <w:tcPr>
            <w:tcW w:w="9922" w:type="dxa"/>
            <w:tcBorders>
              <w:top w:val="nil"/>
              <w:bottom w:val="nil"/>
            </w:tcBorders>
          </w:tcPr>
          <w:p w14:paraId="078E44AB" w14:textId="66385D86" w:rsidR="001A2585" w:rsidRDefault="001A2585" w:rsidP="001A2585">
            <w:pPr>
              <w:spacing w:before="120" w:after="120"/>
              <w:rPr>
                <w:sz w:val="20"/>
                <w:szCs w:val="20"/>
              </w:rPr>
            </w:pPr>
            <w:r>
              <w:rPr>
                <w:sz w:val="20"/>
                <w:szCs w:val="20"/>
              </w:rPr>
              <w:t>As part of those discussions Internal Audit were made aware of a potential significant breach to the Council’s Contract and Financial Procedure Rules, this was in regard to a high value procurement for the utilities (gas and electricity) for South Ribble BC.  It was agreed that the focus would be this specific procurement exercise.</w:t>
            </w:r>
          </w:p>
        </w:tc>
      </w:tr>
      <w:tr w:rsidR="005A32F3" w:rsidRPr="00D30D54" w14:paraId="5BFE7223" w14:textId="77777777" w:rsidTr="001F399C">
        <w:tc>
          <w:tcPr>
            <w:tcW w:w="851" w:type="dxa"/>
            <w:tcBorders>
              <w:top w:val="nil"/>
              <w:bottom w:val="nil"/>
            </w:tcBorders>
          </w:tcPr>
          <w:p w14:paraId="663B6513" w14:textId="77777777" w:rsidR="005A32F3" w:rsidRDefault="001A2585" w:rsidP="001A2585">
            <w:pPr>
              <w:spacing w:before="120" w:after="120"/>
              <w:jc w:val="center"/>
              <w:rPr>
                <w:sz w:val="20"/>
                <w:szCs w:val="20"/>
              </w:rPr>
            </w:pPr>
            <w:r>
              <w:rPr>
                <w:sz w:val="20"/>
                <w:szCs w:val="20"/>
              </w:rPr>
              <w:t>1.3</w:t>
            </w:r>
          </w:p>
          <w:p w14:paraId="0FA1774D" w14:textId="77777777" w:rsidR="001F399C" w:rsidRDefault="001F399C" w:rsidP="001A2585">
            <w:pPr>
              <w:spacing w:before="120" w:after="120"/>
              <w:jc w:val="center"/>
              <w:rPr>
                <w:sz w:val="20"/>
                <w:szCs w:val="20"/>
              </w:rPr>
            </w:pPr>
          </w:p>
          <w:p w14:paraId="2C909CDA" w14:textId="1B68C29C" w:rsidR="001F399C" w:rsidRPr="00F31D31" w:rsidRDefault="001F399C" w:rsidP="001A2585">
            <w:pPr>
              <w:spacing w:before="120" w:after="120"/>
              <w:jc w:val="center"/>
              <w:rPr>
                <w:sz w:val="20"/>
                <w:szCs w:val="20"/>
              </w:rPr>
            </w:pPr>
          </w:p>
        </w:tc>
        <w:tc>
          <w:tcPr>
            <w:tcW w:w="9922" w:type="dxa"/>
            <w:tcBorders>
              <w:top w:val="nil"/>
              <w:bottom w:val="nil"/>
            </w:tcBorders>
          </w:tcPr>
          <w:p w14:paraId="42DE0F51" w14:textId="39EEB150" w:rsidR="005A32F3" w:rsidRDefault="001A2585" w:rsidP="001F399C">
            <w:pPr>
              <w:spacing w:before="120" w:after="120"/>
              <w:rPr>
                <w:sz w:val="20"/>
                <w:szCs w:val="20"/>
              </w:rPr>
            </w:pPr>
            <w:r>
              <w:rPr>
                <w:sz w:val="20"/>
                <w:szCs w:val="20"/>
              </w:rPr>
              <w:t>As part of the review of this specific Contract, discussions with a number of officers / staff within the Neighbourhoods &amp; Development Directorate, specifically the Projects &amp; Development Service, identified a number of further contracts / procurement exercises where potentially breaches of Contract &amp; Financial Procedure Rules had occurred.</w:t>
            </w:r>
            <w:r w:rsidR="001F399C">
              <w:rPr>
                <w:sz w:val="20"/>
                <w:szCs w:val="20"/>
              </w:rPr>
              <w:t xml:space="preserve">  2 of the contracts / procurement exercises had been highlighted on the Council’s Transparency register, these related to Electrical Work for South Ribble Council and Gas Boiler Maintenance.  As issues were identified that required resolving a group of relevant officers was established to determine the extent of the issues and resolve how to move forward.  It was determined to include these 2 contracts / agreements in this report.</w:t>
            </w:r>
          </w:p>
        </w:tc>
      </w:tr>
      <w:tr w:rsidR="001F399C" w:rsidRPr="00D30D54" w14:paraId="60D7C256" w14:textId="77777777" w:rsidTr="006144AB">
        <w:tc>
          <w:tcPr>
            <w:tcW w:w="851" w:type="dxa"/>
            <w:tcBorders>
              <w:top w:val="nil"/>
              <w:bottom w:val="nil"/>
            </w:tcBorders>
          </w:tcPr>
          <w:p w14:paraId="5956B9C1" w14:textId="406A7FF1" w:rsidR="001F399C" w:rsidRDefault="001F399C" w:rsidP="001A2585">
            <w:pPr>
              <w:spacing w:before="120" w:after="120"/>
              <w:jc w:val="center"/>
              <w:rPr>
                <w:sz w:val="20"/>
                <w:szCs w:val="20"/>
              </w:rPr>
            </w:pPr>
            <w:r>
              <w:rPr>
                <w:sz w:val="20"/>
                <w:szCs w:val="20"/>
              </w:rPr>
              <w:t>1.4</w:t>
            </w:r>
          </w:p>
        </w:tc>
        <w:tc>
          <w:tcPr>
            <w:tcW w:w="9922" w:type="dxa"/>
            <w:tcBorders>
              <w:top w:val="nil"/>
              <w:bottom w:val="nil"/>
            </w:tcBorders>
          </w:tcPr>
          <w:p w14:paraId="6F21055D" w14:textId="2CFB1395" w:rsidR="001F399C" w:rsidRDefault="001F399C" w:rsidP="001F399C">
            <w:pPr>
              <w:spacing w:before="120" w:after="120"/>
              <w:rPr>
                <w:sz w:val="20"/>
                <w:szCs w:val="20"/>
              </w:rPr>
            </w:pPr>
            <w:r>
              <w:rPr>
                <w:sz w:val="20"/>
                <w:szCs w:val="20"/>
              </w:rPr>
              <w:t>Internal Audit had started a piece of work examining the top 100 suppliers by spend to verify / confirm that for those suppliers appropriate procurement exercises had been undertaken and contracts, waivers etc. were approved in accordance with Contract and Financial Procedure Rules.  This work was interrupted by the impact of COVID-19, as Interim Auditor has left and Internal Auditors have been seconded to provide support for the Community Hub.  This work will be included in the Audit Plan for 2020/21 and reported accordingly.</w:t>
            </w:r>
          </w:p>
        </w:tc>
      </w:tr>
      <w:tr w:rsidR="006144AB" w:rsidRPr="00D30D54" w14:paraId="4C370DF5" w14:textId="77777777" w:rsidTr="001F399C">
        <w:tc>
          <w:tcPr>
            <w:tcW w:w="851" w:type="dxa"/>
            <w:tcBorders>
              <w:top w:val="nil"/>
              <w:bottom w:val="single" w:sz="4" w:space="0" w:color="auto"/>
            </w:tcBorders>
          </w:tcPr>
          <w:p w14:paraId="0F852DAD" w14:textId="771F4B7E" w:rsidR="006144AB" w:rsidRDefault="006144AB" w:rsidP="001A2585">
            <w:pPr>
              <w:spacing w:before="120" w:after="120"/>
              <w:jc w:val="center"/>
              <w:rPr>
                <w:sz w:val="20"/>
                <w:szCs w:val="20"/>
              </w:rPr>
            </w:pPr>
            <w:r>
              <w:rPr>
                <w:sz w:val="20"/>
                <w:szCs w:val="20"/>
              </w:rPr>
              <w:t>1.5</w:t>
            </w:r>
          </w:p>
        </w:tc>
        <w:tc>
          <w:tcPr>
            <w:tcW w:w="9922" w:type="dxa"/>
            <w:tcBorders>
              <w:top w:val="nil"/>
              <w:bottom w:val="single" w:sz="4" w:space="0" w:color="auto"/>
            </w:tcBorders>
          </w:tcPr>
          <w:p w14:paraId="03361101" w14:textId="3892B114" w:rsidR="006144AB" w:rsidRDefault="006144AB" w:rsidP="000B3985">
            <w:pPr>
              <w:spacing w:before="120" w:after="120"/>
              <w:rPr>
                <w:sz w:val="20"/>
                <w:szCs w:val="20"/>
              </w:rPr>
            </w:pPr>
            <w:r>
              <w:rPr>
                <w:sz w:val="20"/>
                <w:szCs w:val="20"/>
              </w:rPr>
              <w:t xml:space="preserve">As it was clear from the information provided that Contract and </w:t>
            </w:r>
            <w:r w:rsidR="000B3985">
              <w:rPr>
                <w:sz w:val="20"/>
                <w:szCs w:val="20"/>
              </w:rPr>
              <w:t>F</w:t>
            </w:r>
            <w:r>
              <w:rPr>
                <w:sz w:val="20"/>
                <w:szCs w:val="20"/>
              </w:rPr>
              <w:t>inancial Procedure Rules had been breached and potentially OJEU Procurement Rules, the audit is focused on identifying the extent to which the rules are breached, the significance, lessons learned and actions that can be taken to ensure that these Governance issues do not happen again.</w:t>
            </w:r>
          </w:p>
        </w:tc>
      </w:tr>
    </w:tbl>
    <w:p w14:paraId="670064B8" w14:textId="77777777" w:rsidR="00E03413" w:rsidRDefault="00E03413"/>
    <w:p w14:paraId="4F3E234D" w14:textId="77777777" w:rsidR="005A32F3" w:rsidRDefault="005A32F3"/>
    <w:tbl>
      <w:tblPr>
        <w:tblW w:w="1077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5A32F3" w:rsidRPr="00D30D54" w14:paraId="39188D09" w14:textId="77777777" w:rsidTr="00FF5388">
        <w:tc>
          <w:tcPr>
            <w:tcW w:w="851" w:type="dxa"/>
            <w:tcBorders>
              <w:top w:val="single" w:sz="4" w:space="0" w:color="auto"/>
              <w:bottom w:val="single" w:sz="6" w:space="0" w:color="auto"/>
            </w:tcBorders>
            <w:shd w:val="clear" w:color="auto" w:fill="B8CCE4" w:themeFill="accent1" w:themeFillTint="66"/>
          </w:tcPr>
          <w:p w14:paraId="4E01F9DA" w14:textId="7BC7797A" w:rsidR="005A32F3" w:rsidRPr="00D30D54" w:rsidRDefault="005A32F3" w:rsidP="00D1150E">
            <w:pPr>
              <w:jc w:val="center"/>
              <w:rPr>
                <w:b/>
              </w:rPr>
            </w:pPr>
            <w:r>
              <w:rPr>
                <w:b/>
              </w:rPr>
              <w:t>2</w:t>
            </w:r>
          </w:p>
        </w:tc>
        <w:tc>
          <w:tcPr>
            <w:tcW w:w="9922" w:type="dxa"/>
            <w:tcBorders>
              <w:top w:val="single" w:sz="4" w:space="0" w:color="auto"/>
              <w:bottom w:val="single" w:sz="6" w:space="0" w:color="auto"/>
            </w:tcBorders>
            <w:shd w:val="clear" w:color="auto" w:fill="B8CCE4" w:themeFill="accent1" w:themeFillTint="66"/>
          </w:tcPr>
          <w:p w14:paraId="5499F56E" w14:textId="77777777" w:rsidR="005A32F3" w:rsidRDefault="005A32F3" w:rsidP="00D1150E">
            <w:pPr>
              <w:rPr>
                <w:b/>
              </w:rPr>
            </w:pPr>
            <w:r>
              <w:rPr>
                <w:b/>
              </w:rPr>
              <w:t>BACKGROUND</w:t>
            </w:r>
          </w:p>
          <w:p w14:paraId="3CDB0340" w14:textId="2E8C3A01" w:rsidR="005A32F3" w:rsidRPr="00D30D54" w:rsidRDefault="005A32F3" w:rsidP="00D1150E">
            <w:pPr>
              <w:rPr>
                <w:b/>
              </w:rPr>
            </w:pPr>
          </w:p>
        </w:tc>
      </w:tr>
      <w:tr w:rsidR="005A32F3" w:rsidRPr="00D30D54" w14:paraId="1BDD20AB" w14:textId="77777777" w:rsidTr="00FF5388">
        <w:tc>
          <w:tcPr>
            <w:tcW w:w="851" w:type="dxa"/>
            <w:tcBorders>
              <w:top w:val="single" w:sz="6" w:space="0" w:color="auto"/>
              <w:bottom w:val="nil"/>
            </w:tcBorders>
          </w:tcPr>
          <w:p w14:paraId="7DE7637D" w14:textId="2F2318B6" w:rsidR="005A32F3" w:rsidRDefault="006144AB" w:rsidP="006144AB">
            <w:pPr>
              <w:spacing w:before="120" w:after="120"/>
              <w:jc w:val="center"/>
              <w:rPr>
                <w:sz w:val="20"/>
                <w:szCs w:val="20"/>
              </w:rPr>
            </w:pPr>
            <w:r>
              <w:rPr>
                <w:sz w:val="20"/>
                <w:szCs w:val="20"/>
              </w:rPr>
              <w:t>2.1</w:t>
            </w:r>
          </w:p>
          <w:p w14:paraId="30E0AEB8" w14:textId="77777777" w:rsidR="005A32F3" w:rsidRDefault="005A32F3" w:rsidP="006144AB">
            <w:pPr>
              <w:spacing w:before="120" w:after="120"/>
              <w:jc w:val="center"/>
              <w:rPr>
                <w:sz w:val="20"/>
                <w:szCs w:val="20"/>
              </w:rPr>
            </w:pPr>
          </w:p>
          <w:p w14:paraId="369B8982" w14:textId="77777777" w:rsidR="005A32F3" w:rsidRDefault="005A32F3" w:rsidP="006144AB">
            <w:pPr>
              <w:spacing w:before="120" w:after="120"/>
              <w:jc w:val="center"/>
              <w:rPr>
                <w:sz w:val="20"/>
                <w:szCs w:val="20"/>
              </w:rPr>
            </w:pPr>
          </w:p>
          <w:p w14:paraId="07F710B4" w14:textId="77777777" w:rsidR="005A32F3" w:rsidRDefault="005A32F3" w:rsidP="006144AB">
            <w:pPr>
              <w:spacing w:before="120" w:after="120"/>
              <w:jc w:val="center"/>
              <w:rPr>
                <w:sz w:val="20"/>
                <w:szCs w:val="20"/>
              </w:rPr>
            </w:pPr>
          </w:p>
          <w:p w14:paraId="2C488004" w14:textId="77777777" w:rsidR="005A32F3" w:rsidRDefault="005A32F3" w:rsidP="006144AB">
            <w:pPr>
              <w:spacing w:before="120" w:after="120"/>
              <w:jc w:val="center"/>
              <w:rPr>
                <w:sz w:val="20"/>
                <w:szCs w:val="20"/>
              </w:rPr>
            </w:pPr>
          </w:p>
          <w:p w14:paraId="5BCC6C3B" w14:textId="261EE9AA" w:rsidR="005A32F3" w:rsidRPr="001641C4" w:rsidRDefault="005A32F3" w:rsidP="006144AB">
            <w:pPr>
              <w:spacing w:before="120" w:after="120"/>
              <w:jc w:val="center"/>
              <w:rPr>
                <w:sz w:val="20"/>
                <w:szCs w:val="20"/>
              </w:rPr>
            </w:pPr>
          </w:p>
        </w:tc>
        <w:tc>
          <w:tcPr>
            <w:tcW w:w="9922" w:type="dxa"/>
            <w:tcBorders>
              <w:top w:val="single" w:sz="6" w:space="0" w:color="auto"/>
              <w:bottom w:val="nil"/>
            </w:tcBorders>
          </w:tcPr>
          <w:p w14:paraId="3E49847E" w14:textId="77777777" w:rsidR="005A32F3" w:rsidRDefault="005A32F3" w:rsidP="006144AB">
            <w:pPr>
              <w:autoSpaceDE w:val="0"/>
              <w:autoSpaceDN w:val="0"/>
              <w:adjustRightInd w:val="0"/>
              <w:spacing w:before="120" w:after="120"/>
              <w:rPr>
                <w:rFonts w:cs="Arial"/>
                <w:sz w:val="20"/>
                <w:szCs w:val="20"/>
              </w:rPr>
            </w:pPr>
            <w:r>
              <w:rPr>
                <w:rFonts w:cs="Arial"/>
                <w:sz w:val="20"/>
                <w:szCs w:val="20"/>
              </w:rPr>
              <w:t xml:space="preserve">The previous contract was procured via a Framework Agreement brokered by the Utilities Procurement Group (UPG) on behalf of </w:t>
            </w:r>
            <w:proofErr w:type="spellStart"/>
            <w:r>
              <w:rPr>
                <w:rFonts w:cs="Arial"/>
                <w:sz w:val="20"/>
                <w:szCs w:val="20"/>
              </w:rPr>
              <w:t>Hambelton</w:t>
            </w:r>
            <w:proofErr w:type="spellEnd"/>
            <w:r>
              <w:rPr>
                <w:rFonts w:cs="Arial"/>
                <w:sz w:val="20"/>
                <w:szCs w:val="20"/>
              </w:rPr>
              <w:t xml:space="preserve"> District Council, the lead authority purchasing on behalf of other contracting authorities (including South Ribble Borough Council).  The contract for SRBC ran from1</w:t>
            </w:r>
            <w:r w:rsidRPr="00B303BA">
              <w:rPr>
                <w:rFonts w:cs="Arial"/>
                <w:sz w:val="20"/>
                <w:szCs w:val="20"/>
                <w:vertAlign w:val="superscript"/>
              </w:rPr>
              <w:t>st</w:t>
            </w:r>
            <w:r>
              <w:rPr>
                <w:rFonts w:cs="Arial"/>
                <w:sz w:val="20"/>
                <w:szCs w:val="20"/>
              </w:rPr>
              <w:t xml:space="preserve"> October 2015 to 30</w:t>
            </w:r>
            <w:r w:rsidRPr="00B303BA">
              <w:rPr>
                <w:rFonts w:cs="Arial"/>
                <w:sz w:val="20"/>
                <w:szCs w:val="20"/>
                <w:vertAlign w:val="superscript"/>
              </w:rPr>
              <w:t>th</w:t>
            </w:r>
            <w:r>
              <w:rPr>
                <w:rFonts w:cs="Arial"/>
                <w:sz w:val="20"/>
                <w:szCs w:val="20"/>
              </w:rPr>
              <w:t xml:space="preserve"> September 2019.  The duration of the Framework Agreement was 4 years with an estimated total value of £800K to £80M.  It was divided into 3 lots:-</w:t>
            </w:r>
          </w:p>
          <w:p w14:paraId="256CB9BB" w14:textId="77777777" w:rsidR="005A32F3" w:rsidRDefault="005A32F3" w:rsidP="004A16B4">
            <w:pPr>
              <w:pStyle w:val="ListParagraph"/>
              <w:numPr>
                <w:ilvl w:val="0"/>
                <w:numId w:val="5"/>
              </w:numPr>
              <w:autoSpaceDE w:val="0"/>
              <w:autoSpaceDN w:val="0"/>
              <w:adjustRightInd w:val="0"/>
              <w:spacing w:before="120" w:after="120"/>
              <w:ind w:hanging="55"/>
              <w:rPr>
                <w:rFonts w:cs="Arial"/>
                <w:sz w:val="20"/>
                <w:szCs w:val="20"/>
              </w:rPr>
            </w:pPr>
            <w:r>
              <w:rPr>
                <w:rFonts w:cs="Arial"/>
                <w:sz w:val="20"/>
                <w:szCs w:val="20"/>
              </w:rPr>
              <w:t>Non-half hour electricity;</w:t>
            </w:r>
          </w:p>
          <w:p w14:paraId="571DFA3F" w14:textId="77777777" w:rsidR="005A32F3" w:rsidRDefault="005A32F3" w:rsidP="004A16B4">
            <w:pPr>
              <w:pStyle w:val="ListParagraph"/>
              <w:numPr>
                <w:ilvl w:val="0"/>
                <w:numId w:val="5"/>
              </w:numPr>
              <w:autoSpaceDE w:val="0"/>
              <w:autoSpaceDN w:val="0"/>
              <w:adjustRightInd w:val="0"/>
              <w:spacing w:before="120" w:after="120"/>
              <w:ind w:hanging="55"/>
              <w:rPr>
                <w:rFonts w:cs="Arial"/>
                <w:sz w:val="20"/>
                <w:szCs w:val="20"/>
              </w:rPr>
            </w:pPr>
            <w:r>
              <w:rPr>
                <w:rFonts w:cs="Arial"/>
                <w:sz w:val="20"/>
                <w:szCs w:val="20"/>
              </w:rPr>
              <w:t xml:space="preserve">Half-hourly electricity; and </w:t>
            </w:r>
          </w:p>
          <w:p w14:paraId="34162F62" w14:textId="77777777" w:rsidR="005A32F3" w:rsidRDefault="005A32F3" w:rsidP="004A16B4">
            <w:pPr>
              <w:pStyle w:val="ListParagraph"/>
              <w:numPr>
                <w:ilvl w:val="0"/>
                <w:numId w:val="5"/>
              </w:numPr>
              <w:autoSpaceDE w:val="0"/>
              <w:autoSpaceDN w:val="0"/>
              <w:adjustRightInd w:val="0"/>
              <w:spacing w:before="120" w:after="120"/>
              <w:ind w:hanging="55"/>
              <w:rPr>
                <w:rFonts w:cs="Arial"/>
                <w:sz w:val="20"/>
                <w:szCs w:val="20"/>
              </w:rPr>
            </w:pPr>
            <w:r>
              <w:rPr>
                <w:rFonts w:cs="Arial"/>
                <w:sz w:val="20"/>
                <w:szCs w:val="20"/>
              </w:rPr>
              <w:t>Natural Gas</w:t>
            </w:r>
            <w:r>
              <w:rPr>
                <w:rFonts w:cs="Arial"/>
                <w:sz w:val="20"/>
                <w:szCs w:val="20"/>
              </w:rPr>
              <w:br/>
            </w:r>
          </w:p>
          <w:p w14:paraId="1523DCDF" w14:textId="5EA27DCF" w:rsidR="005A32F3" w:rsidRPr="00C46C9D" w:rsidRDefault="005A32F3" w:rsidP="006144AB">
            <w:pPr>
              <w:autoSpaceDE w:val="0"/>
              <w:autoSpaceDN w:val="0"/>
              <w:adjustRightInd w:val="0"/>
              <w:spacing w:before="120" w:after="120"/>
              <w:ind w:left="35"/>
              <w:rPr>
                <w:rFonts w:cs="Arial"/>
                <w:iCs/>
                <w:sz w:val="20"/>
                <w:szCs w:val="20"/>
              </w:rPr>
            </w:pPr>
            <w:r>
              <w:rPr>
                <w:rFonts w:cs="Arial"/>
                <w:sz w:val="20"/>
                <w:szCs w:val="20"/>
              </w:rPr>
              <w:t>Suppliers were able to bid for single lots or all three lots</w:t>
            </w:r>
            <w:r w:rsidR="00FF5388">
              <w:rPr>
                <w:rFonts w:cs="Arial"/>
                <w:sz w:val="20"/>
                <w:szCs w:val="20"/>
              </w:rPr>
              <w:t>.</w:t>
            </w:r>
          </w:p>
        </w:tc>
      </w:tr>
      <w:tr w:rsidR="006144AB" w:rsidRPr="00D30D54" w14:paraId="0FAE206F" w14:textId="77777777" w:rsidTr="00FF5388">
        <w:tc>
          <w:tcPr>
            <w:tcW w:w="851" w:type="dxa"/>
            <w:tcBorders>
              <w:top w:val="nil"/>
              <w:bottom w:val="single" w:sz="4" w:space="0" w:color="auto"/>
            </w:tcBorders>
          </w:tcPr>
          <w:p w14:paraId="072D3A6D" w14:textId="4F70C14D" w:rsidR="006144AB" w:rsidRDefault="006144AB" w:rsidP="006144AB">
            <w:pPr>
              <w:spacing w:before="120" w:after="120"/>
              <w:jc w:val="center"/>
              <w:rPr>
                <w:sz w:val="20"/>
                <w:szCs w:val="20"/>
              </w:rPr>
            </w:pPr>
            <w:r>
              <w:rPr>
                <w:sz w:val="20"/>
                <w:szCs w:val="20"/>
              </w:rPr>
              <w:t>2.2</w:t>
            </w:r>
          </w:p>
        </w:tc>
        <w:tc>
          <w:tcPr>
            <w:tcW w:w="9922" w:type="dxa"/>
            <w:tcBorders>
              <w:top w:val="nil"/>
              <w:bottom w:val="single" w:sz="4" w:space="0" w:color="auto"/>
            </w:tcBorders>
          </w:tcPr>
          <w:p w14:paraId="10E15FED" w14:textId="77777777" w:rsidR="006144AB" w:rsidRPr="009A1035" w:rsidRDefault="006144AB" w:rsidP="006144AB">
            <w:pPr>
              <w:spacing w:before="120" w:after="120"/>
              <w:rPr>
                <w:sz w:val="20"/>
                <w:szCs w:val="20"/>
              </w:rPr>
            </w:pPr>
            <w:r w:rsidRPr="009A1035">
              <w:rPr>
                <w:sz w:val="20"/>
                <w:szCs w:val="20"/>
              </w:rPr>
              <w:t xml:space="preserve">The use of Framework Agreements is set out in section 31 of the Council’s Contract Procurement Rules. Amongst the Rules, it states: </w:t>
            </w:r>
          </w:p>
          <w:p w14:paraId="3129CB95" w14:textId="12E38988" w:rsidR="006144AB" w:rsidRPr="009A1035" w:rsidRDefault="006144AB" w:rsidP="006144AB">
            <w:pPr>
              <w:pStyle w:val="Heading2"/>
              <w:keepNext w:val="0"/>
              <w:numPr>
                <w:ilvl w:val="1"/>
                <w:numId w:val="0"/>
              </w:numPr>
              <w:tabs>
                <w:tab w:val="left" w:pos="776"/>
                <w:tab w:val="num" w:pos="1008"/>
                <w:tab w:val="left" w:pos="1418"/>
                <w:tab w:val="left" w:pos="2127"/>
                <w:tab w:val="left" w:pos="2835"/>
                <w:tab w:val="left" w:pos="3544"/>
                <w:tab w:val="left" w:pos="4253"/>
              </w:tabs>
              <w:spacing w:before="120" w:after="120"/>
              <w:ind w:left="709" w:hanging="709"/>
              <w:jc w:val="both"/>
              <w:rPr>
                <w:rFonts w:ascii="Arial" w:hAnsi="Arial" w:cs="Arial"/>
                <w:b w:val="0"/>
                <w:i/>
                <w:sz w:val="20"/>
                <w:u w:val="none"/>
              </w:rPr>
            </w:pPr>
            <w:r>
              <w:rPr>
                <w:rFonts w:ascii="Arial" w:hAnsi="Arial" w:cs="Arial"/>
                <w:b w:val="0"/>
                <w:i/>
                <w:sz w:val="20"/>
                <w:u w:val="none"/>
              </w:rPr>
              <w:t>3</w:t>
            </w:r>
            <w:r w:rsidRPr="009A1035">
              <w:rPr>
                <w:rFonts w:ascii="Arial" w:hAnsi="Arial" w:cs="Arial"/>
                <w:b w:val="0"/>
                <w:i/>
                <w:sz w:val="20"/>
                <w:u w:val="none"/>
              </w:rPr>
              <w:t>1.4</w:t>
            </w:r>
            <w:r w:rsidRPr="009A1035">
              <w:rPr>
                <w:rFonts w:ascii="Arial" w:hAnsi="Arial" w:cs="Arial"/>
                <w:b w:val="0"/>
                <w:i/>
                <w:sz w:val="20"/>
                <w:u w:val="none"/>
              </w:rPr>
              <w:tab/>
              <w:t xml:space="preserve">Where the Council has entered into a Framework Agreement through procurement or is able to place orders from existing Framework Agreements procured by central government agencies, public sector consortia, other local authorities or other third parties, then the Council may benefit from using those contracts without entering into a full, separate procurement.  </w:t>
            </w:r>
          </w:p>
          <w:p w14:paraId="6D27171A" w14:textId="78FB6D34" w:rsidR="006144AB" w:rsidRPr="00BE7519" w:rsidRDefault="006144AB" w:rsidP="006144AB">
            <w:pPr>
              <w:spacing w:before="120" w:after="120"/>
              <w:ind w:left="755" w:hanging="755"/>
              <w:jc w:val="both"/>
              <w:rPr>
                <w:rFonts w:cs="Arial"/>
                <w:sz w:val="20"/>
                <w:szCs w:val="20"/>
              </w:rPr>
            </w:pPr>
            <w:r w:rsidRPr="009A1035">
              <w:rPr>
                <w:rFonts w:cs="Arial"/>
                <w:i/>
                <w:sz w:val="20"/>
              </w:rPr>
              <w:t>31.5</w:t>
            </w:r>
            <w:r w:rsidRPr="009A1035">
              <w:rPr>
                <w:rFonts w:cs="Arial"/>
                <w:i/>
                <w:sz w:val="20"/>
              </w:rPr>
              <w:tab/>
              <w:t>Where a public sector framework is used in accordance with the above provisions, without entering into a full, separate procurement process, all other relevant aspects of these procurement rules will still apply, including any approval which may be required for the procurement award procedure (in this case to use the identified framework), approval for the evaluation criteria and weightings (in the event of a further competition under the framework), and approval for the contact award prior to contract acceptance</w:t>
            </w:r>
            <w:r>
              <w:rPr>
                <w:rFonts w:cs="Arial"/>
                <w:i/>
                <w:sz w:val="20"/>
              </w:rPr>
              <w:t>.</w:t>
            </w:r>
          </w:p>
        </w:tc>
      </w:tr>
      <w:tr w:rsidR="006144AB" w:rsidRPr="00D30D54" w14:paraId="6363E71A" w14:textId="77777777" w:rsidTr="00FF5388">
        <w:tc>
          <w:tcPr>
            <w:tcW w:w="851" w:type="dxa"/>
            <w:tcBorders>
              <w:top w:val="single" w:sz="4" w:space="0" w:color="auto"/>
              <w:bottom w:val="nil"/>
            </w:tcBorders>
          </w:tcPr>
          <w:p w14:paraId="38EF003E" w14:textId="14D8FD95" w:rsidR="006144AB" w:rsidRDefault="006144AB" w:rsidP="006144AB">
            <w:pPr>
              <w:spacing w:before="120" w:after="120"/>
              <w:jc w:val="center"/>
              <w:rPr>
                <w:sz w:val="20"/>
                <w:szCs w:val="20"/>
              </w:rPr>
            </w:pPr>
            <w:r>
              <w:rPr>
                <w:sz w:val="20"/>
                <w:szCs w:val="20"/>
              </w:rPr>
              <w:lastRenderedPageBreak/>
              <w:t>2.</w:t>
            </w:r>
            <w:r w:rsidR="00FF5388">
              <w:rPr>
                <w:sz w:val="20"/>
                <w:szCs w:val="20"/>
              </w:rPr>
              <w:t>3</w:t>
            </w:r>
          </w:p>
        </w:tc>
        <w:tc>
          <w:tcPr>
            <w:tcW w:w="9922" w:type="dxa"/>
            <w:tcBorders>
              <w:top w:val="single" w:sz="4" w:space="0" w:color="auto"/>
              <w:bottom w:val="nil"/>
            </w:tcBorders>
          </w:tcPr>
          <w:p w14:paraId="43E92CAE" w14:textId="310C1789" w:rsidR="006144AB" w:rsidRPr="00BE7519" w:rsidRDefault="00FF5388" w:rsidP="00FF5388">
            <w:pPr>
              <w:autoSpaceDE w:val="0"/>
              <w:autoSpaceDN w:val="0"/>
              <w:adjustRightInd w:val="0"/>
              <w:spacing w:before="120" w:after="120"/>
              <w:jc w:val="both"/>
              <w:rPr>
                <w:rFonts w:cs="Arial"/>
                <w:sz w:val="20"/>
                <w:szCs w:val="20"/>
              </w:rPr>
            </w:pPr>
            <w:r>
              <w:rPr>
                <w:rFonts w:cs="Arial"/>
                <w:sz w:val="20"/>
                <w:szCs w:val="20"/>
              </w:rPr>
              <w:t>The initial issue arose w</w:t>
            </w:r>
            <w:r w:rsidR="006144AB">
              <w:rPr>
                <w:rFonts w:cs="Arial"/>
                <w:sz w:val="20"/>
                <w:szCs w:val="20"/>
              </w:rPr>
              <w:t>hen</w:t>
            </w:r>
            <w:r>
              <w:rPr>
                <w:rFonts w:cs="Arial"/>
                <w:sz w:val="20"/>
                <w:szCs w:val="20"/>
              </w:rPr>
              <w:t xml:space="preserve">, </w:t>
            </w:r>
            <w:r w:rsidR="006144AB">
              <w:rPr>
                <w:rFonts w:cs="Arial"/>
                <w:sz w:val="20"/>
                <w:szCs w:val="20"/>
              </w:rPr>
              <w:t>in November 2019 the Shared Procurement Team were asked to approve a new creditor, Total Gas &amp; Power Ltd, the route by which the new supplier was procured was brought into question</w:t>
            </w:r>
            <w:r>
              <w:rPr>
                <w:rFonts w:cs="Arial"/>
                <w:sz w:val="20"/>
                <w:szCs w:val="20"/>
              </w:rPr>
              <w:t xml:space="preserve"> and </w:t>
            </w:r>
            <w:r w:rsidR="006144AB">
              <w:rPr>
                <w:rFonts w:cs="Arial"/>
                <w:sz w:val="20"/>
                <w:szCs w:val="20"/>
              </w:rPr>
              <w:t>concerns were raised in respect of the extent to which the Council’s Contract Procurement Rules had been adhered to and whether best value had been secured in the selection of the new supplier.</w:t>
            </w:r>
          </w:p>
        </w:tc>
      </w:tr>
      <w:tr w:rsidR="006144AB" w:rsidRPr="00D30D54" w14:paraId="404053D0" w14:textId="77777777" w:rsidTr="006144AB">
        <w:tc>
          <w:tcPr>
            <w:tcW w:w="851" w:type="dxa"/>
            <w:tcBorders>
              <w:top w:val="nil"/>
              <w:bottom w:val="nil"/>
            </w:tcBorders>
          </w:tcPr>
          <w:p w14:paraId="4327A419" w14:textId="37EFC035" w:rsidR="006144AB" w:rsidRDefault="00FF5388" w:rsidP="006144AB">
            <w:pPr>
              <w:spacing w:before="120" w:after="120"/>
              <w:jc w:val="center"/>
              <w:rPr>
                <w:sz w:val="20"/>
                <w:szCs w:val="20"/>
              </w:rPr>
            </w:pPr>
            <w:r>
              <w:rPr>
                <w:sz w:val="20"/>
                <w:szCs w:val="20"/>
              </w:rPr>
              <w:t>2.4</w:t>
            </w:r>
          </w:p>
        </w:tc>
        <w:tc>
          <w:tcPr>
            <w:tcW w:w="9922" w:type="dxa"/>
            <w:tcBorders>
              <w:top w:val="nil"/>
              <w:bottom w:val="nil"/>
            </w:tcBorders>
          </w:tcPr>
          <w:p w14:paraId="62CF280D" w14:textId="1C18D462" w:rsidR="006144AB" w:rsidRDefault="006144AB" w:rsidP="006144AB">
            <w:pPr>
              <w:spacing w:before="120" w:after="120"/>
              <w:jc w:val="both"/>
              <w:rPr>
                <w:rFonts w:cs="Arial"/>
                <w:sz w:val="20"/>
                <w:szCs w:val="20"/>
              </w:rPr>
            </w:pPr>
            <w:r>
              <w:rPr>
                <w:rFonts w:cs="Arial"/>
                <w:sz w:val="20"/>
                <w:szCs w:val="20"/>
              </w:rPr>
              <w:t xml:space="preserve">As a consequence, Internal Audit were asked to </w:t>
            </w:r>
            <w:r w:rsidRPr="00C46C9D">
              <w:rPr>
                <w:rFonts w:cs="Arial"/>
                <w:sz w:val="20"/>
                <w:szCs w:val="20"/>
              </w:rPr>
              <w:t xml:space="preserve">review the </w:t>
            </w:r>
            <w:r>
              <w:rPr>
                <w:rFonts w:cs="Arial"/>
                <w:sz w:val="20"/>
                <w:szCs w:val="20"/>
              </w:rPr>
              <w:t>procurement arrangements in respect of the recent re-letting of the contract for the supply of gas and electricity across the Council’s numerous sites</w:t>
            </w:r>
            <w:r w:rsidRPr="00C46C9D">
              <w:rPr>
                <w:rFonts w:cs="Arial"/>
                <w:sz w:val="20"/>
                <w:szCs w:val="20"/>
              </w:rPr>
              <w:t>.</w:t>
            </w:r>
            <w:r w:rsidR="00FF5388">
              <w:rPr>
                <w:rFonts w:cs="Arial"/>
                <w:sz w:val="20"/>
                <w:szCs w:val="20"/>
              </w:rPr>
              <w:t xml:space="preserve">  The review was to be a fact finding review with the objective of determining the extent to which the Council’s Contract and Financial Procedure Rules had been breached / adhered to and lessons learned from the contravention of any rules.</w:t>
            </w:r>
          </w:p>
        </w:tc>
      </w:tr>
      <w:tr w:rsidR="006144AB" w:rsidRPr="00D30D54" w14:paraId="1860A260" w14:textId="77777777" w:rsidTr="00FF5388">
        <w:tc>
          <w:tcPr>
            <w:tcW w:w="851" w:type="dxa"/>
            <w:tcBorders>
              <w:top w:val="nil"/>
              <w:bottom w:val="nil"/>
            </w:tcBorders>
          </w:tcPr>
          <w:p w14:paraId="51FA67FC" w14:textId="7F986FC4" w:rsidR="006144AB" w:rsidRDefault="00FF5388" w:rsidP="006144AB">
            <w:pPr>
              <w:spacing w:before="120" w:after="120"/>
              <w:jc w:val="center"/>
              <w:rPr>
                <w:sz w:val="20"/>
                <w:szCs w:val="20"/>
              </w:rPr>
            </w:pPr>
            <w:r>
              <w:rPr>
                <w:sz w:val="20"/>
                <w:szCs w:val="20"/>
              </w:rPr>
              <w:t>2.5</w:t>
            </w:r>
          </w:p>
        </w:tc>
        <w:tc>
          <w:tcPr>
            <w:tcW w:w="9922" w:type="dxa"/>
            <w:tcBorders>
              <w:top w:val="nil"/>
              <w:bottom w:val="nil"/>
            </w:tcBorders>
          </w:tcPr>
          <w:p w14:paraId="0E74229D" w14:textId="5E3BEBE2" w:rsidR="006144AB" w:rsidRDefault="006144AB" w:rsidP="00662B89">
            <w:pPr>
              <w:spacing w:before="120" w:after="120"/>
              <w:jc w:val="both"/>
              <w:rPr>
                <w:rFonts w:cs="Arial"/>
                <w:sz w:val="20"/>
                <w:szCs w:val="20"/>
              </w:rPr>
            </w:pPr>
            <w:r w:rsidRPr="00BE7519">
              <w:rPr>
                <w:rFonts w:cs="Arial"/>
                <w:sz w:val="20"/>
                <w:szCs w:val="20"/>
              </w:rPr>
              <w:t>As part of the review</w:t>
            </w:r>
            <w:r>
              <w:rPr>
                <w:rFonts w:cs="Arial"/>
                <w:sz w:val="20"/>
                <w:szCs w:val="20"/>
              </w:rPr>
              <w:t xml:space="preserve"> audit examined available documentation and met with the </w:t>
            </w:r>
            <w:r w:rsidR="00662B89">
              <w:rPr>
                <w:rFonts w:cs="Arial"/>
                <w:sz w:val="20"/>
                <w:szCs w:val="20"/>
              </w:rPr>
              <w:t>relevant officers.</w:t>
            </w:r>
            <w:r>
              <w:rPr>
                <w:rFonts w:cs="Arial"/>
                <w:sz w:val="20"/>
                <w:szCs w:val="20"/>
              </w:rPr>
              <w:t xml:space="preserve"> </w:t>
            </w:r>
          </w:p>
        </w:tc>
      </w:tr>
      <w:tr w:rsidR="00FF5388" w:rsidRPr="00D30D54" w14:paraId="51AFFB47" w14:textId="77777777" w:rsidTr="00FF5388">
        <w:tc>
          <w:tcPr>
            <w:tcW w:w="851" w:type="dxa"/>
            <w:tcBorders>
              <w:top w:val="nil"/>
              <w:bottom w:val="single" w:sz="4" w:space="0" w:color="auto"/>
            </w:tcBorders>
          </w:tcPr>
          <w:p w14:paraId="5FE593DF" w14:textId="1604ACF0" w:rsidR="00FF5388" w:rsidRDefault="00FF5388" w:rsidP="006144AB">
            <w:pPr>
              <w:spacing w:before="120" w:after="120"/>
              <w:jc w:val="center"/>
              <w:rPr>
                <w:sz w:val="20"/>
                <w:szCs w:val="20"/>
              </w:rPr>
            </w:pPr>
            <w:r>
              <w:rPr>
                <w:sz w:val="20"/>
                <w:szCs w:val="20"/>
              </w:rPr>
              <w:t>2.6</w:t>
            </w:r>
          </w:p>
        </w:tc>
        <w:tc>
          <w:tcPr>
            <w:tcW w:w="9922" w:type="dxa"/>
            <w:tcBorders>
              <w:top w:val="nil"/>
              <w:bottom w:val="single" w:sz="4" w:space="0" w:color="auto"/>
            </w:tcBorders>
          </w:tcPr>
          <w:p w14:paraId="0566BEBD" w14:textId="13AA2D3F" w:rsidR="00FF5388" w:rsidRPr="00BE7519" w:rsidRDefault="00FF5388" w:rsidP="000B3985">
            <w:pPr>
              <w:spacing w:before="120" w:after="120"/>
              <w:jc w:val="both"/>
              <w:rPr>
                <w:rFonts w:cs="Arial"/>
                <w:sz w:val="20"/>
                <w:szCs w:val="20"/>
              </w:rPr>
            </w:pPr>
            <w:r>
              <w:rPr>
                <w:rFonts w:cs="Arial"/>
                <w:sz w:val="20"/>
                <w:szCs w:val="20"/>
              </w:rPr>
              <w:t xml:space="preserve">The further 2 contracts reviewed were identified </w:t>
            </w:r>
            <w:r w:rsidR="000B3985">
              <w:rPr>
                <w:rFonts w:cs="Arial"/>
                <w:sz w:val="20"/>
                <w:szCs w:val="20"/>
              </w:rPr>
              <w:t xml:space="preserve">as part of the review of the Transparency Register </w:t>
            </w:r>
            <w:r>
              <w:rPr>
                <w:rFonts w:cs="Arial"/>
                <w:sz w:val="20"/>
                <w:szCs w:val="20"/>
              </w:rPr>
              <w:t>by the Assistant Director (Projects &amp; Development) and Facilities Manager</w:t>
            </w:r>
            <w:r w:rsidR="000B3985">
              <w:rPr>
                <w:rFonts w:cs="Arial"/>
                <w:sz w:val="20"/>
                <w:szCs w:val="20"/>
              </w:rPr>
              <w:t>.  Following discussions in regard to CPR and FPR breaches relating to the initial contract the officers informed Internal Audit and Procurement that there were potentially more contracts that had / would breach CPR’s and FPR’s if actions were not implemented.</w:t>
            </w:r>
          </w:p>
        </w:tc>
      </w:tr>
    </w:tbl>
    <w:p w14:paraId="1F3612A2" w14:textId="77777777" w:rsidR="006144AB" w:rsidRDefault="006144AB" w:rsidP="006144AB">
      <w:pPr>
        <w:spacing w:before="120" w:after="120"/>
      </w:pPr>
    </w:p>
    <w:tbl>
      <w:tblPr>
        <w:tblW w:w="1077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98430D" w:rsidRPr="00D30D54" w14:paraId="2F13C5B3" w14:textId="77777777" w:rsidTr="003B4137">
        <w:tc>
          <w:tcPr>
            <w:tcW w:w="851" w:type="dxa"/>
            <w:tcBorders>
              <w:bottom w:val="single" w:sz="6" w:space="0" w:color="auto"/>
            </w:tcBorders>
            <w:shd w:val="clear" w:color="auto" w:fill="B8CCE4" w:themeFill="accent1" w:themeFillTint="66"/>
          </w:tcPr>
          <w:p w14:paraId="1524DBCF" w14:textId="4414486E" w:rsidR="0098430D" w:rsidRDefault="00924A2D" w:rsidP="006144AB">
            <w:pPr>
              <w:spacing w:before="120" w:after="120"/>
              <w:jc w:val="center"/>
              <w:rPr>
                <w:b/>
              </w:rPr>
            </w:pPr>
            <w:r>
              <w:rPr>
                <w:b/>
              </w:rPr>
              <w:t>3</w:t>
            </w:r>
          </w:p>
        </w:tc>
        <w:tc>
          <w:tcPr>
            <w:tcW w:w="9922" w:type="dxa"/>
            <w:tcBorders>
              <w:bottom w:val="single" w:sz="6" w:space="0" w:color="auto"/>
            </w:tcBorders>
            <w:shd w:val="clear" w:color="auto" w:fill="B8CCE4" w:themeFill="accent1" w:themeFillTint="66"/>
          </w:tcPr>
          <w:p w14:paraId="42115C6E" w14:textId="6491F460" w:rsidR="0098430D" w:rsidRPr="00D30D54" w:rsidRDefault="0098430D" w:rsidP="00734199">
            <w:pPr>
              <w:spacing w:before="120" w:after="120"/>
              <w:rPr>
                <w:b/>
              </w:rPr>
            </w:pPr>
            <w:r>
              <w:rPr>
                <w:b/>
              </w:rPr>
              <w:t>ASSURANCE  RATING</w:t>
            </w:r>
          </w:p>
        </w:tc>
      </w:tr>
      <w:tr w:rsidR="0098430D" w:rsidRPr="006A0EC0" w14:paraId="6E6F2F65" w14:textId="77777777" w:rsidTr="0072175C">
        <w:tc>
          <w:tcPr>
            <w:tcW w:w="851" w:type="dxa"/>
            <w:tcBorders>
              <w:top w:val="nil"/>
              <w:bottom w:val="nil"/>
            </w:tcBorders>
          </w:tcPr>
          <w:p w14:paraId="69143EEE" w14:textId="76911B9B" w:rsidR="0016285E" w:rsidRDefault="00924A2D" w:rsidP="008F783F">
            <w:pPr>
              <w:spacing w:before="120" w:after="120"/>
              <w:jc w:val="center"/>
            </w:pPr>
            <w:r>
              <w:t>3</w:t>
            </w:r>
            <w:r w:rsidR="0016285E">
              <w:t>.1</w:t>
            </w:r>
          </w:p>
          <w:p w14:paraId="6D396878" w14:textId="24A534F8" w:rsidR="009844E4" w:rsidRPr="00CF43E6" w:rsidRDefault="009844E4" w:rsidP="008F783F">
            <w:pPr>
              <w:spacing w:before="120" w:after="120"/>
              <w:jc w:val="center"/>
              <w:rPr>
                <w:b/>
              </w:rPr>
            </w:pPr>
          </w:p>
        </w:tc>
        <w:tc>
          <w:tcPr>
            <w:tcW w:w="9922" w:type="dxa"/>
            <w:tcBorders>
              <w:top w:val="nil"/>
              <w:bottom w:val="nil"/>
            </w:tcBorders>
          </w:tcPr>
          <w:p w14:paraId="79CA6D12" w14:textId="56E5C2DB" w:rsidR="00105E17" w:rsidRDefault="00105E17" w:rsidP="008F783F">
            <w:pPr>
              <w:pStyle w:val="ListParagraph"/>
              <w:spacing w:before="120" w:after="120"/>
              <w:ind w:left="0"/>
              <w:rPr>
                <w:rFonts w:cs="Arial"/>
                <w:sz w:val="20"/>
                <w:szCs w:val="20"/>
              </w:rPr>
            </w:pPr>
            <w:r>
              <w:rPr>
                <w:rFonts w:cs="Arial"/>
                <w:sz w:val="20"/>
                <w:szCs w:val="20"/>
              </w:rPr>
              <w:t>As it was clear that breaches of the Councils Rules and regulations had occurred, the review was undertaken in order to determine:-</w:t>
            </w:r>
          </w:p>
          <w:p w14:paraId="61281191" w14:textId="77777777" w:rsidR="00105E17" w:rsidRDefault="00105E17" w:rsidP="004A16B4">
            <w:pPr>
              <w:pStyle w:val="ListParagraph"/>
              <w:numPr>
                <w:ilvl w:val="0"/>
                <w:numId w:val="6"/>
              </w:numPr>
              <w:spacing w:before="120" w:after="120"/>
              <w:rPr>
                <w:rFonts w:cs="Arial"/>
                <w:sz w:val="20"/>
                <w:szCs w:val="20"/>
              </w:rPr>
            </w:pPr>
            <w:r>
              <w:rPr>
                <w:rFonts w:cs="Arial"/>
                <w:sz w:val="20"/>
                <w:szCs w:val="20"/>
              </w:rPr>
              <w:t>If the breaches constituted significant breaches in the operation of the Council’s governance framework;</w:t>
            </w:r>
          </w:p>
          <w:p w14:paraId="7A2BA8DB" w14:textId="366FCC02" w:rsidR="00105E17" w:rsidRDefault="00105E17" w:rsidP="004A16B4">
            <w:pPr>
              <w:pStyle w:val="ListParagraph"/>
              <w:numPr>
                <w:ilvl w:val="0"/>
                <w:numId w:val="6"/>
              </w:numPr>
              <w:spacing w:before="120" w:after="120"/>
              <w:rPr>
                <w:rFonts w:cs="Arial"/>
                <w:sz w:val="20"/>
                <w:szCs w:val="20"/>
              </w:rPr>
            </w:pPr>
            <w:r>
              <w:rPr>
                <w:rFonts w:cs="Arial"/>
                <w:sz w:val="20"/>
                <w:szCs w:val="20"/>
              </w:rPr>
              <w:t xml:space="preserve">if there was a failure of or weaknesses in control, the extent of those failures; and </w:t>
            </w:r>
          </w:p>
          <w:p w14:paraId="5A0E375F" w14:textId="7B8FCE2E" w:rsidR="00A35271" w:rsidRPr="008F783F" w:rsidRDefault="00105E17" w:rsidP="00662B89">
            <w:pPr>
              <w:pStyle w:val="ListParagraph"/>
              <w:numPr>
                <w:ilvl w:val="0"/>
                <w:numId w:val="6"/>
              </w:numPr>
              <w:spacing w:before="120" w:after="120"/>
              <w:rPr>
                <w:rFonts w:cs="Arial"/>
                <w:sz w:val="20"/>
                <w:szCs w:val="20"/>
              </w:rPr>
            </w:pPr>
            <w:r>
              <w:rPr>
                <w:rFonts w:cs="Arial"/>
                <w:sz w:val="20"/>
                <w:szCs w:val="20"/>
              </w:rPr>
              <w:t>the impacts / risks arising from those breaches and failure of</w:t>
            </w:r>
            <w:r w:rsidR="00982FAF">
              <w:rPr>
                <w:rFonts w:cs="Arial"/>
                <w:sz w:val="20"/>
                <w:szCs w:val="20"/>
              </w:rPr>
              <w:t xml:space="preserve"> controls</w:t>
            </w:r>
            <w:r>
              <w:rPr>
                <w:rFonts w:cs="Arial"/>
                <w:sz w:val="20"/>
                <w:szCs w:val="20"/>
              </w:rPr>
              <w:t xml:space="preserve"> </w:t>
            </w:r>
          </w:p>
        </w:tc>
      </w:tr>
      <w:tr w:rsidR="00734199" w:rsidRPr="006A0EC0" w14:paraId="69E7CE21" w14:textId="77777777" w:rsidTr="0072175C">
        <w:tc>
          <w:tcPr>
            <w:tcW w:w="851" w:type="dxa"/>
            <w:tcBorders>
              <w:top w:val="nil"/>
              <w:bottom w:val="nil"/>
            </w:tcBorders>
          </w:tcPr>
          <w:p w14:paraId="71BF47B5" w14:textId="37DCF3EF" w:rsidR="00734199" w:rsidRDefault="00924A2D" w:rsidP="008F783F">
            <w:pPr>
              <w:spacing w:before="120" w:after="120"/>
              <w:jc w:val="center"/>
            </w:pPr>
            <w:r>
              <w:t>3.2</w:t>
            </w:r>
          </w:p>
        </w:tc>
        <w:tc>
          <w:tcPr>
            <w:tcW w:w="9922" w:type="dxa"/>
            <w:tcBorders>
              <w:top w:val="nil"/>
              <w:bottom w:val="nil"/>
            </w:tcBorders>
          </w:tcPr>
          <w:p w14:paraId="522ED680" w14:textId="6E3FE8A7" w:rsidR="00734199" w:rsidRPr="002C089B" w:rsidRDefault="00924A2D" w:rsidP="008F783F">
            <w:pPr>
              <w:pStyle w:val="ListParagraph"/>
              <w:spacing w:before="120" w:after="120"/>
              <w:ind w:left="0"/>
              <w:jc w:val="both"/>
              <w:rPr>
                <w:rFonts w:cs="Arial"/>
                <w:sz w:val="20"/>
                <w:szCs w:val="20"/>
              </w:rPr>
            </w:pPr>
            <w:r>
              <w:rPr>
                <w:rFonts w:cs="Arial"/>
                <w:sz w:val="20"/>
                <w:szCs w:val="20"/>
              </w:rPr>
              <w:t>Internal Audit provide an independent and objective opinion on the adequacy of the Council’s control environment, in order to do that Internal Audit review and provide an opinion on the level of assurance of the control environment within each service area reviewed.  The level of assurance is based on the assessment of the extent to which system objectives are met, the effectiveness of controls operating within those systems and the resultant extent to which risks are mitigated.</w:t>
            </w:r>
          </w:p>
        </w:tc>
      </w:tr>
      <w:tr w:rsidR="00924A2D" w:rsidRPr="006A0EC0" w14:paraId="2624E0A5" w14:textId="77777777" w:rsidTr="0072175C">
        <w:tc>
          <w:tcPr>
            <w:tcW w:w="851" w:type="dxa"/>
            <w:tcBorders>
              <w:top w:val="nil"/>
              <w:bottom w:val="nil"/>
            </w:tcBorders>
          </w:tcPr>
          <w:p w14:paraId="3A5DEA2F" w14:textId="6FCAE70A" w:rsidR="00924A2D" w:rsidRDefault="00924A2D" w:rsidP="008F783F">
            <w:pPr>
              <w:spacing w:before="120" w:after="120"/>
              <w:jc w:val="center"/>
            </w:pPr>
            <w:r>
              <w:t>3.3</w:t>
            </w:r>
          </w:p>
        </w:tc>
        <w:tc>
          <w:tcPr>
            <w:tcW w:w="9922" w:type="dxa"/>
            <w:tcBorders>
              <w:top w:val="nil"/>
              <w:bottom w:val="nil"/>
            </w:tcBorders>
          </w:tcPr>
          <w:p w14:paraId="3FEDF034" w14:textId="772B5D64" w:rsidR="00924A2D" w:rsidRDefault="00924A2D" w:rsidP="008F783F">
            <w:pPr>
              <w:pStyle w:val="ListParagraph"/>
              <w:spacing w:before="120" w:after="120"/>
              <w:ind w:left="0"/>
              <w:jc w:val="both"/>
              <w:rPr>
                <w:rFonts w:cs="Arial"/>
                <w:sz w:val="20"/>
                <w:szCs w:val="20"/>
              </w:rPr>
            </w:pPr>
            <w:r>
              <w:rPr>
                <w:rFonts w:cs="Arial"/>
                <w:sz w:val="20"/>
                <w:szCs w:val="20"/>
              </w:rPr>
              <w:t>The Council has a</w:t>
            </w:r>
            <w:r w:rsidR="0090599E">
              <w:rPr>
                <w:rFonts w:cs="Arial"/>
                <w:sz w:val="20"/>
                <w:szCs w:val="20"/>
              </w:rPr>
              <w:t>n</w:t>
            </w:r>
            <w:r>
              <w:rPr>
                <w:rFonts w:cs="Arial"/>
                <w:sz w:val="20"/>
                <w:szCs w:val="20"/>
              </w:rPr>
              <w:t xml:space="preserve"> </w:t>
            </w:r>
            <w:r w:rsidR="0090599E">
              <w:rPr>
                <w:rFonts w:cs="Arial"/>
                <w:sz w:val="20"/>
                <w:szCs w:val="20"/>
              </w:rPr>
              <w:t xml:space="preserve">effective </w:t>
            </w:r>
            <w:r>
              <w:rPr>
                <w:rFonts w:cs="Arial"/>
                <w:sz w:val="20"/>
                <w:szCs w:val="20"/>
              </w:rPr>
              <w:t xml:space="preserve">governance framework relating to the Procurement of goods and services, </w:t>
            </w:r>
            <w:r w:rsidR="0090599E">
              <w:rPr>
                <w:rFonts w:cs="Arial"/>
                <w:sz w:val="20"/>
                <w:szCs w:val="20"/>
              </w:rPr>
              <w:t xml:space="preserve">contained in the </w:t>
            </w:r>
            <w:r>
              <w:rPr>
                <w:rFonts w:cs="Arial"/>
                <w:sz w:val="20"/>
                <w:szCs w:val="20"/>
              </w:rPr>
              <w:t>Constitution</w:t>
            </w:r>
            <w:r w:rsidR="0090599E">
              <w:rPr>
                <w:rFonts w:cs="Arial"/>
                <w:sz w:val="20"/>
                <w:szCs w:val="20"/>
              </w:rPr>
              <w:t xml:space="preserve">, in regard to decision making, </w:t>
            </w:r>
            <w:r>
              <w:rPr>
                <w:rFonts w:cs="Arial"/>
                <w:sz w:val="20"/>
                <w:szCs w:val="20"/>
              </w:rPr>
              <w:t xml:space="preserve">Contract Procedure Rules </w:t>
            </w:r>
            <w:r w:rsidR="0090599E">
              <w:rPr>
                <w:rFonts w:cs="Arial"/>
                <w:sz w:val="20"/>
                <w:szCs w:val="20"/>
              </w:rPr>
              <w:t xml:space="preserve">relating to the procurement routes for all levels of procurement and waivers to CPR’s where necessary </w:t>
            </w:r>
            <w:r>
              <w:rPr>
                <w:rFonts w:cs="Arial"/>
                <w:sz w:val="20"/>
                <w:szCs w:val="20"/>
              </w:rPr>
              <w:t xml:space="preserve">and Financial </w:t>
            </w:r>
            <w:r w:rsidR="0090599E">
              <w:rPr>
                <w:rFonts w:cs="Arial"/>
                <w:sz w:val="20"/>
                <w:szCs w:val="20"/>
              </w:rPr>
              <w:t>Procedure Rules</w:t>
            </w:r>
            <w:r>
              <w:rPr>
                <w:rFonts w:cs="Arial"/>
                <w:sz w:val="20"/>
                <w:szCs w:val="20"/>
              </w:rPr>
              <w:t xml:space="preserve"> </w:t>
            </w:r>
            <w:r w:rsidR="0090599E">
              <w:rPr>
                <w:rFonts w:cs="Arial"/>
                <w:sz w:val="20"/>
                <w:szCs w:val="20"/>
              </w:rPr>
              <w:t>in respect of separation of duties, financial limits and authorisation levels.  The framework provides for a sound system of governance, controls and mitigation of risk.</w:t>
            </w:r>
          </w:p>
        </w:tc>
      </w:tr>
      <w:tr w:rsidR="0090599E" w:rsidRPr="006A0EC0" w14:paraId="38FD174F" w14:textId="77777777" w:rsidTr="0072175C">
        <w:tc>
          <w:tcPr>
            <w:tcW w:w="851" w:type="dxa"/>
            <w:tcBorders>
              <w:top w:val="nil"/>
              <w:bottom w:val="nil"/>
            </w:tcBorders>
          </w:tcPr>
          <w:p w14:paraId="278E0DBE" w14:textId="6073F881" w:rsidR="0090599E" w:rsidRDefault="0090599E" w:rsidP="008F783F">
            <w:pPr>
              <w:spacing w:before="120" w:after="120"/>
              <w:jc w:val="center"/>
            </w:pPr>
            <w:r>
              <w:t>3.4</w:t>
            </w:r>
          </w:p>
        </w:tc>
        <w:tc>
          <w:tcPr>
            <w:tcW w:w="9922" w:type="dxa"/>
            <w:tcBorders>
              <w:top w:val="nil"/>
              <w:bottom w:val="nil"/>
            </w:tcBorders>
          </w:tcPr>
          <w:p w14:paraId="0FB1F47D" w14:textId="1BF0C414" w:rsidR="0090599E" w:rsidRDefault="0090599E" w:rsidP="008F783F">
            <w:pPr>
              <w:pStyle w:val="ListParagraph"/>
              <w:spacing w:before="120" w:after="120"/>
              <w:ind w:left="0"/>
              <w:jc w:val="both"/>
              <w:rPr>
                <w:rFonts w:cs="Arial"/>
                <w:sz w:val="20"/>
                <w:szCs w:val="20"/>
              </w:rPr>
            </w:pPr>
            <w:r>
              <w:rPr>
                <w:rFonts w:cs="Arial"/>
                <w:sz w:val="20"/>
                <w:szCs w:val="20"/>
              </w:rPr>
              <w:t xml:space="preserve">However, for the process and systems of control to be effective and to demonstrate the effectiveness of the Governance framework, the Constitution, CPR’s and FPR’s </w:t>
            </w:r>
            <w:r w:rsidR="00060FFB">
              <w:rPr>
                <w:rFonts w:cs="Arial"/>
                <w:sz w:val="20"/>
                <w:szCs w:val="20"/>
              </w:rPr>
              <w:t xml:space="preserve">must </w:t>
            </w:r>
            <w:r>
              <w:rPr>
                <w:rFonts w:cs="Arial"/>
                <w:sz w:val="20"/>
                <w:szCs w:val="20"/>
              </w:rPr>
              <w:t>be complied with.  The findings detailed below will demonstrate that all decision making procedures, procurement and legal processes have failed / are non-existent, controls are not operating as they should and risks are not mitigated.</w:t>
            </w:r>
            <w:r w:rsidR="000D2D21">
              <w:rPr>
                <w:rFonts w:cs="Arial"/>
                <w:sz w:val="20"/>
                <w:szCs w:val="20"/>
              </w:rPr>
              <w:t xml:space="preserve"> Further, the review has identified that the Council has fundamentally breached OJEU Procurement Rules.  </w:t>
            </w:r>
          </w:p>
        </w:tc>
      </w:tr>
      <w:tr w:rsidR="0090599E" w:rsidRPr="006A0EC0" w14:paraId="6882AD5B" w14:textId="77777777" w:rsidTr="00662B89">
        <w:tc>
          <w:tcPr>
            <w:tcW w:w="851" w:type="dxa"/>
            <w:tcBorders>
              <w:top w:val="nil"/>
              <w:bottom w:val="nil"/>
            </w:tcBorders>
          </w:tcPr>
          <w:p w14:paraId="4C1F709D" w14:textId="4518F503" w:rsidR="0090599E" w:rsidRDefault="0090599E" w:rsidP="008F783F">
            <w:pPr>
              <w:spacing w:before="120" w:after="120"/>
              <w:jc w:val="center"/>
            </w:pPr>
            <w:r>
              <w:t>3.5</w:t>
            </w:r>
          </w:p>
        </w:tc>
        <w:tc>
          <w:tcPr>
            <w:tcW w:w="9922" w:type="dxa"/>
            <w:tcBorders>
              <w:top w:val="nil"/>
              <w:bottom w:val="nil"/>
            </w:tcBorders>
          </w:tcPr>
          <w:p w14:paraId="6D30142B" w14:textId="3BD528ED" w:rsidR="004A16B4" w:rsidRDefault="0090599E" w:rsidP="00662B89">
            <w:pPr>
              <w:pStyle w:val="ListParagraph"/>
              <w:spacing w:before="120" w:after="120"/>
              <w:ind w:left="0"/>
              <w:jc w:val="both"/>
              <w:rPr>
                <w:rFonts w:cs="Arial"/>
                <w:sz w:val="20"/>
                <w:szCs w:val="20"/>
              </w:rPr>
            </w:pPr>
            <w:r>
              <w:rPr>
                <w:rFonts w:cs="Arial"/>
                <w:sz w:val="20"/>
                <w:szCs w:val="20"/>
              </w:rPr>
              <w:t xml:space="preserve">There are serious, significant failings and breaches of the Constitution, CPR’s, FPR’s primarily arising from a </w:t>
            </w:r>
            <w:r w:rsidR="000D2D21">
              <w:rPr>
                <w:rFonts w:cs="Arial"/>
                <w:sz w:val="20"/>
                <w:szCs w:val="20"/>
              </w:rPr>
              <w:t>fundamental</w:t>
            </w:r>
            <w:r>
              <w:rPr>
                <w:rFonts w:cs="Arial"/>
                <w:sz w:val="20"/>
                <w:szCs w:val="20"/>
              </w:rPr>
              <w:t xml:space="preserve"> failure of management controls which have left the Council open to severe </w:t>
            </w:r>
            <w:r w:rsidR="000D2D21">
              <w:rPr>
                <w:rFonts w:cs="Arial"/>
                <w:sz w:val="20"/>
                <w:szCs w:val="20"/>
              </w:rPr>
              <w:t>reputational, financial and legislative harm.  The Council cannot demonstrate that it has achieved Best Value in the procurement of these services as the procurement process is f</w:t>
            </w:r>
            <w:r w:rsidR="00963267">
              <w:rPr>
                <w:rFonts w:cs="Arial"/>
                <w:sz w:val="20"/>
                <w:szCs w:val="20"/>
              </w:rPr>
              <w:t>undamentally flawed / non-existe</w:t>
            </w:r>
            <w:r w:rsidR="000D2D21">
              <w:rPr>
                <w:rFonts w:cs="Arial"/>
                <w:sz w:val="20"/>
                <w:szCs w:val="20"/>
              </w:rPr>
              <w:t xml:space="preserve">nt. </w:t>
            </w:r>
          </w:p>
        </w:tc>
      </w:tr>
      <w:tr w:rsidR="00734199" w:rsidRPr="006A0EC0" w14:paraId="74B2F0EC" w14:textId="77777777" w:rsidTr="00662B89">
        <w:tc>
          <w:tcPr>
            <w:tcW w:w="851" w:type="dxa"/>
            <w:tcBorders>
              <w:top w:val="nil"/>
              <w:bottom w:val="single" w:sz="4" w:space="0" w:color="auto"/>
            </w:tcBorders>
          </w:tcPr>
          <w:p w14:paraId="45F2E317" w14:textId="1D1D9411" w:rsidR="00734199" w:rsidRPr="00F31D31" w:rsidRDefault="000D2D21" w:rsidP="00060FFB">
            <w:pPr>
              <w:spacing w:before="120" w:after="120"/>
              <w:jc w:val="center"/>
              <w:rPr>
                <w:sz w:val="20"/>
                <w:szCs w:val="20"/>
              </w:rPr>
            </w:pPr>
            <w:r>
              <w:rPr>
                <w:sz w:val="20"/>
                <w:szCs w:val="20"/>
              </w:rPr>
              <w:t>3.6</w:t>
            </w:r>
          </w:p>
        </w:tc>
        <w:tc>
          <w:tcPr>
            <w:tcW w:w="9922" w:type="dxa"/>
            <w:tcBorders>
              <w:top w:val="nil"/>
              <w:bottom w:val="single" w:sz="4" w:space="0" w:color="auto"/>
            </w:tcBorders>
          </w:tcPr>
          <w:p w14:paraId="11FEBD5A" w14:textId="53D91486" w:rsidR="00734199" w:rsidRPr="0065650A" w:rsidRDefault="000D2D21" w:rsidP="00060FFB">
            <w:pPr>
              <w:pStyle w:val="ListParagraph"/>
              <w:spacing w:before="120" w:after="120"/>
              <w:ind w:left="0"/>
              <w:rPr>
                <w:rFonts w:eastAsiaTheme="minorHAnsi" w:cs="Arial"/>
                <w:b/>
                <w:sz w:val="20"/>
                <w:szCs w:val="20"/>
              </w:rPr>
            </w:pPr>
            <w:r>
              <w:rPr>
                <w:rFonts w:cs="Arial"/>
                <w:sz w:val="20"/>
                <w:szCs w:val="20"/>
              </w:rPr>
              <w:t xml:space="preserve">The failure is such that the assurance ratings outlined below cannot apply, it is Internal Audit’s opinion that </w:t>
            </w:r>
            <w:r>
              <w:rPr>
                <w:rFonts w:cs="Arial"/>
                <w:b/>
                <w:sz w:val="20"/>
                <w:szCs w:val="20"/>
              </w:rPr>
              <w:t xml:space="preserve">No Assurance </w:t>
            </w:r>
            <w:r w:rsidR="00060FFB">
              <w:rPr>
                <w:rFonts w:cs="Arial"/>
                <w:sz w:val="20"/>
                <w:szCs w:val="20"/>
              </w:rPr>
              <w:t>can be placed on the effectiveness of the controls in place and the extent to which risks have been mitigated</w:t>
            </w:r>
            <w:r w:rsidR="00662B89">
              <w:rPr>
                <w:rFonts w:cs="Arial"/>
                <w:sz w:val="20"/>
                <w:szCs w:val="20"/>
              </w:rPr>
              <w:t xml:space="preserve"> </w:t>
            </w:r>
            <w:r w:rsidR="00662B89">
              <w:rPr>
                <w:rFonts w:cs="Arial"/>
                <w:b/>
                <w:sz w:val="20"/>
                <w:szCs w:val="20"/>
              </w:rPr>
              <w:t>in regard to these Procurement exercises / contracts only.</w:t>
            </w:r>
            <w:r w:rsidR="00060FFB">
              <w:rPr>
                <w:rFonts w:cs="Arial"/>
                <w:sz w:val="20"/>
                <w:szCs w:val="20"/>
              </w:rPr>
              <w:t>.  This is largely due to the fundamental failure of the procurement process and the fundamental failure of management controls in that regard.</w:t>
            </w:r>
            <w:r w:rsidR="00662B89">
              <w:rPr>
                <w:rFonts w:cs="Arial"/>
                <w:sz w:val="20"/>
                <w:szCs w:val="20"/>
              </w:rPr>
              <w:br/>
            </w:r>
            <w:r w:rsidR="00662B89">
              <w:rPr>
                <w:rFonts w:cs="Arial"/>
                <w:sz w:val="20"/>
                <w:szCs w:val="20"/>
              </w:rPr>
              <w:br/>
              <w:t>It should be noted that the opinion outlined above is only relative to these specific contracts reviewed and does not provide opinion on the overall operation of Procurement exercises / contracts overall.  A further piece of work is required to determine the extent to which the rules are complied with.  This is included in the 2020/21 Audit Plan.</w:t>
            </w:r>
          </w:p>
        </w:tc>
      </w:tr>
      <w:tr w:rsidR="00060FFB" w:rsidRPr="006A0EC0" w14:paraId="778B8F27" w14:textId="77777777" w:rsidTr="00662B89">
        <w:tc>
          <w:tcPr>
            <w:tcW w:w="851" w:type="dxa"/>
            <w:tcBorders>
              <w:top w:val="single" w:sz="4" w:space="0" w:color="auto"/>
              <w:bottom w:val="nil"/>
            </w:tcBorders>
          </w:tcPr>
          <w:p w14:paraId="6D6AE034" w14:textId="2C1EAA4F" w:rsidR="00060FFB" w:rsidRDefault="00060FFB" w:rsidP="00060FFB">
            <w:pPr>
              <w:spacing w:before="120" w:after="120"/>
              <w:jc w:val="center"/>
              <w:rPr>
                <w:sz w:val="20"/>
                <w:szCs w:val="20"/>
              </w:rPr>
            </w:pPr>
            <w:r>
              <w:rPr>
                <w:sz w:val="20"/>
                <w:szCs w:val="20"/>
              </w:rPr>
              <w:t>3.7</w:t>
            </w:r>
          </w:p>
        </w:tc>
        <w:tc>
          <w:tcPr>
            <w:tcW w:w="9922" w:type="dxa"/>
            <w:tcBorders>
              <w:top w:val="single" w:sz="4" w:space="0" w:color="auto"/>
              <w:bottom w:val="nil"/>
            </w:tcBorders>
          </w:tcPr>
          <w:p w14:paraId="382827CC" w14:textId="1F2396A6" w:rsidR="00060FFB" w:rsidRDefault="00060FFB" w:rsidP="00963267">
            <w:pPr>
              <w:spacing w:before="120" w:after="120"/>
              <w:jc w:val="both"/>
              <w:rPr>
                <w:rFonts w:cs="Arial"/>
                <w:sz w:val="20"/>
                <w:szCs w:val="20"/>
              </w:rPr>
            </w:pPr>
            <w:r w:rsidRPr="002C089B">
              <w:rPr>
                <w:rFonts w:cs="Arial"/>
                <w:sz w:val="20"/>
                <w:szCs w:val="20"/>
              </w:rPr>
              <w:t xml:space="preserve">A </w:t>
            </w:r>
            <w:r w:rsidR="00963267">
              <w:rPr>
                <w:rFonts w:cs="Arial"/>
                <w:sz w:val="20"/>
                <w:szCs w:val="20"/>
              </w:rPr>
              <w:t xml:space="preserve">fundamental </w:t>
            </w:r>
            <w:r w:rsidRPr="002C089B">
              <w:rPr>
                <w:rFonts w:cs="Arial"/>
                <w:sz w:val="20"/>
                <w:szCs w:val="20"/>
              </w:rPr>
              <w:t xml:space="preserve">element </w:t>
            </w:r>
            <w:r w:rsidR="00963267">
              <w:rPr>
                <w:rFonts w:cs="Arial"/>
                <w:sz w:val="20"/>
                <w:szCs w:val="20"/>
              </w:rPr>
              <w:t xml:space="preserve">in respect of </w:t>
            </w:r>
            <w:r w:rsidRPr="002C089B">
              <w:rPr>
                <w:rFonts w:cs="Arial"/>
                <w:sz w:val="20"/>
                <w:szCs w:val="20"/>
              </w:rPr>
              <w:t xml:space="preserve">many of the issues raised in the review was the </w:t>
            </w:r>
            <w:r w:rsidR="00963267">
              <w:rPr>
                <w:rFonts w:cs="Arial"/>
                <w:sz w:val="20"/>
                <w:szCs w:val="20"/>
              </w:rPr>
              <w:t xml:space="preserve">level of </w:t>
            </w:r>
            <w:r>
              <w:rPr>
                <w:rFonts w:cs="Arial"/>
                <w:sz w:val="20"/>
                <w:szCs w:val="20"/>
              </w:rPr>
              <w:t>support</w:t>
            </w:r>
            <w:r w:rsidRPr="002C089B">
              <w:rPr>
                <w:rFonts w:cs="Arial"/>
                <w:sz w:val="20"/>
                <w:szCs w:val="20"/>
              </w:rPr>
              <w:t xml:space="preserve"> that was </w:t>
            </w:r>
            <w:r>
              <w:rPr>
                <w:rFonts w:cs="Arial"/>
                <w:sz w:val="20"/>
                <w:szCs w:val="20"/>
              </w:rPr>
              <w:t xml:space="preserve">/ was not </w:t>
            </w:r>
            <w:r w:rsidRPr="002C089B">
              <w:rPr>
                <w:rFonts w:cs="Arial"/>
                <w:sz w:val="20"/>
                <w:szCs w:val="20"/>
              </w:rPr>
              <w:t>provided to the Facilities Manager with regards the correct procurement route to follow. The Facilities Manager had received no training (induction nor ongoing) with regards the Council’s Contract Procurement Rules and was largely left to manage the process. Furthermore, the Facilities Manager acknowledges that he did not request advice / support from the Council’s Procurement Team.</w:t>
            </w:r>
          </w:p>
        </w:tc>
      </w:tr>
      <w:tr w:rsidR="00734199" w:rsidRPr="006A0EC0" w14:paraId="346AA6C1" w14:textId="77777777" w:rsidTr="0072175C">
        <w:tc>
          <w:tcPr>
            <w:tcW w:w="851" w:type="dxa"/>
            <w:tcBorders>
              <w:top w:val="nil"/>
              <w:bottom w:val="nil"/>
            </w:tcBorders>
          </w:tcPr>
          <w:p w14:paraId="2FA762EA" w14:textId="46CAECEE" w:rsidR="00734199" w:rsidRPr="00F31D31" w:rsidRDefault="00963267" w:rsidP="00060FFB">
            <w:pPr>
              <w:spacing w:before="120" w:after="120"/>
              <w:jc w:val="center"/>
              <w:rPr>
                <w:sz w:val="20"/>
                <w:szCs w:val="20"/>
              </w:rPr>
            </w:pPr>
            <w:r>
              <w:rPr>
                <w:sz w:val="20"/>
                <w:szCs w:val="20"/>
              </w:rPr>
              <w:t>3.8</w:t>
            </w:r>
          </w:p>
        </w:tc>
        <w:tc>
          <w:tcPr>
            <w:tcW w:w="9922" w:type="dxa"/>
            <w:tcBorders>
              <w:top w:val="nil"/>
              <w:bottom w:val="nil"/>
            </w:tcBorders>
          </w:tcPr>
          <w:p w14:paraId="438A8705" w14:textId="37DEC314" w:rsidR="00734199" w:rsidRPr="002C089B" w:rsidRDefault="00734199" w:rsidP="009E5421">
            <w:pPr>
              <w:spacing w:before="120" w:after="120"/>
              <w:jc w:val="both"/>
              <w:rPr>
                <w:rFonts w:cs="Arial"/>
                <w:sz w:val="20"/>
                <w:szCs w:val="20"/>
              </w:rPr>
            </w:pPr>
            <w:r w:rsidRPr="002C089B">
              <w:rPr>
                <w:rFonts w:cs="Arial"/>
                <w:sz w:val="20"/>
                <w:szCs w:val="20"/>
              </w:rPr>
              <w:t>Unlike the previous contract for the provision of gas and electricity, the Council did not utilise a Framework Agreement from which local authorities, including SRBC, could select a supplier. This is demonstrated by the Tender Opportunity Notice that clearly sets out that Resolve were acting on behalf of SRBC alone.</w:t>
            </w:r>
          </w:p>
        </w:tc>
      </w:tr>
      <w:tr w:rsidR="00734199" w:rsidRPr="006A0EC0" w14:paraId="013D3837" w14:textId="77777777" w:rsidTr="0072175C">
        <w:tc>
          <w:tcPr>
            <w:tcW w:w="851" w:type="dxa"/>
            <w:tcBorders>
              <w:top w:val="nil"/>
              <w:bottom w:val="nil"/>
            </w:tcBorders>
          </w:tcPr>
          <w:p w14:paraId="0719B4D7" w14:textId="3EE38BC9" w:rsidR="00734199" w:rsidRPr="00F31D31" w:rsidRDefault="004A16B4" w:rsidP="00060FFB">
            <w:pPr>
              <w:spacing w:before="120" w:after="120"/>
              <w:jc w:val="center"/>
              <w:rPr>
                <w:sz w:val="20"/>
                <w:szCs w:val="20"/>
              </w:rPr>
            </w:pPr>
            <w:r>
              <w:rPr>
                <w:sz w:val="20"/>
                <w:szCs w:val="20"/>
              </w:rPr>
              <w:t>3.9</w:t>
            </w:r>
          </w:p>
        </w:tc>
        <w:tc>
          <w:tcPr>
            <w:tcW w:w="9922" w:type="dxa"/>
            <w:tcBorders>
              <w:top w:val="nil"/>
              <w:bottom w:val="nil"/>
            </w:tcBorders>
          </w:tcPr>
          <w:p w14:paraId="003B6278" w14:textId="77EEB0B3" w:rsidR="00734199" w:rsidRPr="002C089B" w:rsidRDefault="00734199" w:rsidP="009E5421">
            <w:pPr>
              <w:spacing w:before="120" w:after="120"/>
              <w:jc w:val="both"/>
              <w:rPr>
                <w:rFonts w:cs="Arial"/>
                <w:sz w:val="20"/>
                <w:szCs w:val="20"/>
              </w:rPr>
            </w:pPr>
            <w:r w:rsidRPr="002C089B">
              <w:rPr>
                <w:rFonts w:cs="Arial"/>
                <w:sz w:val="20"/>
                <w:szCs w:val="20"/>
              </w:rPr>
              <w:t>The tender was posted on Contract Finder only and, as per the Council’s CPR’s and EU Procurement Rules, it should have been advertised on the Chest and an OJEU notice posted.</w:t>
            </w:r>
          </w:p>
        </w:tc>
      </w:tr>
      <w:tr w:rsidR="009E5421" w:rsidRPr="006A0EC0" w14:paraId="0F08F012" w14:textId="77777777" w:rsidTr="0072175C">
        <w:tc>
          <w:tcPr>
            <w:tcW w:w="851" w:type="dxa"/>
            <w:tcBorders>
              <w:top w:val="nil"/>
              <w:bottom w:val="nil"/>
            </w:tcBorders>
          </w:tcPr>
          <w:p w14:paraId="64902A15" w14:textId="3A766BB9" w:rsidR="009E5421" w:rsidRPr="00F31D31" w:rsidRDefault="004A16B4" w:rsidP="00060FFB">
            <w:pPr>
              <w:spacing w:before="120" w:after="120"/>
              <w:jc w:val="center"/>
              <w:rPr>
                <w:sz w:val="20"/>
                <w:szCs w:val="20"/>
              </w:rPr>
            </w:pPr>
            <w:r>
              <w:rPr>
                <w:sz w:val="20"/>
                <w:szCs w:val="20"/>
              </w:rPr>
              <w:t>3.10</w:t>
            </w:r>
          </w:p>
        </w:tc>
        <w:tc>
          <w:tcPr>
            <w:tcW w:w="9922" w:type="dxa"/>
            <w:tcBorders>
              <w:top w:val="nil"/>
              <w:bottom w:val="nil"/>
            </w:tcBorders>
          </w:tcPr>
          <w:p w14:paraId="09AB6330" w14:textId="68F1A326" w:rsidR="009E5421" w:rsidRPr="002C089B" w:rsidRDefault="009E5421" w:rsidP="0072175C">
            <w:pPr>
              <w:spacing w:before="120" w:after="120"/>
              <w:jc w:val="both"/>
              <w:rPr>
                <w:rFonts w:cs="Arial"/>
                <w:sz w:val="20"/>
                <w:szCs w:val="20"/>
              </w:rPr>
            </w:pPr>
            <w:r w:rsidRPr="002C089B">
              <w:rPr>
                <w:rFonts w:cs="Arial"/>
                <w:sz w:val="20"/>
                <w:szCs w:val="20"/>
              </w:rPr>
              <w:t>The Tender Opportunity Notice issued by Resolve Energy made it clear that ‘</w:t>
            </w:r>
            <w:r w:rsidRPr="002C089B">
              <w:rPr>
                <w:rFonts w:cs="Arial"/>
                <w:i/>
                <w:sz w:val="20"/>
                <w:szCs w:val="20"/>
              </w:rPr>
              <w:t xml:space="preserve">the contracting authority are looking to select one single supplier….’. </w:t>
            </w:r>
            <w:r w:rsidRPr="002C089B">
              <w:rPr>
                <w:rFonts w:cs="Arial"/>
                <w:sz w:val="20"/>
                <w:szCs w:val="20"/>
              </w:rPr>
              <w:t>As a consequence, even if there was a valid reason for splitting the service up into six contracts (neither Audit</w:t>
            </w:r>
            <w:r w:rsidR="0072175C">
              <w:rPr>
                <w:rFonts w:cs="Arial"/>
                <w:sz w:val="20"/>
                <w:szCs w:val="20"/>
              </w:rPr>
              <w:t>,</w:t>
            </w:r>
            <w:r w:rsidRPr="002C089B">
              <w:rPr>
                <w:rFonts w:cs="Arial"/>
                <w:sz w:val="20"/>
                <w:szCs w:val="20"/>
              </w:rPr>
              <w:t xml:space="preserve"> Legal or Procurement could establish the reason for this), the total value of the six contracts should have been the figure to apply when determining the correct procurement route. As per ‘The Public Contract Regulations 2015, </w:t>
            </w:r>
            <w:r w:rsidRPr="002C089B">
              <w:rPr>
                <w:rFonts w:cs="Arial"/>
                <w:i/>
                <w:sz w:val="20"/>
                <w:szCs w:val="20"/>
              </w:rPr>
              <w:t>‘</w:t>
            </w:r>
            <w:r w:rsidRPr="002C089B">
              <w:rPr>
                <w:rFonts w:cs="Arial"/>
                <w:i/>
                <w:sz w:val="20"/>
                <w:szCs w:val="20"/>
                <w:lang w:val="en"/>
              </w:rPr>
              <w:t>The calculation of the estimated value of a procurement shall be based on the total amount payable, net of VAT, as estimated by the contracting authority, including any form of option and any renewals of the contracts as explicitly set out in the procurement documents.</w:t>
            </w:r>
            <w:r w:rsidRPr="002C089B">
              <w:rPr>
                <w:rFonts w:cs="Arial"/>
                <w:sz w:val="20"/>
                <w:szCs w:val="20"/>
              </w:rPr>
              <w:t xml:space="preserve"> </w:t>
            </w:r>
          </w:p>
        </w:tc>
      </w:tr>
      <w:tr w:rsidR="00734199" w:rsidRPr="006A0EC0" w14:paraId="07D74868" w14:textId="77777777" w:rsidTr="0072175C">
        <w:tc>
          <w:tcPr>
            <w:tcW w:w="851" w:type="dxa"/>
            <w:tcBorders>
              <w:top w:val="nil"/>
              <w:bottom w:val="nil"/>
            </w:tcBorders>
          </w:tcPr>
          <w:p w14:paraId="20A77FCF" w14:textId="6C0F598B" w:rsidR="00734199" w:rsidRPr="00F31D31" w:rsidRDefault="004A16B4" w:rsidP="00060FFB">
            <w:pPr>
              <w:spacing w:before="120" w:after="120"/>
              <w:jc w:val="center"/>
              <w:rPr>
                <w:sz w:val="20"/>
                <w:szCs w:val="20"/>
              </w:rPr>
            </w:pPr>
            <w:r>
              <w:rPr>
                <w:sz w:val="20"/>
                <w:szCs w:val="20"/>
              </w:rPr>
              <w:t>3.11</w:t>
            </w:r>
          </w:p>
        </w:tc>
        <w:tc>
          <w:tcPr>
            <w:tcW w:w="9922" w:type="dxa"/>
            <w:tcBorders>
              <w:top w:val="nil"/>
              <w:bottom w:val="nil"/>
            </w:tcBorders>
          </w:tcPr>
          <w:p w14:paraId="54DEF12E" w14:textId="23CF428D" w:rsidR="00734199" w:rsidRPr="002C089B" w:rsidRDefault="00734199" w:rsidP="00060FFB">
            <w:pPr>
              <w:spacing w:before="120" w:after="120"/>
              <w:jc w:val="both"/>
              <w:rPr>
                <w:rFonts w:cs="Arial"/>
                <w:sz w:val="20"/>
                <w:szCs w:val="20"/>
              </w:rPr>
            </w:pPr>
            <w:r w:rsidRPr="002C089B">
              <w:rPr>
                <w:rFonts w:cs="Arial"/>
                <w:sz w:val="20"/>
                <w:szCs w:val="20"/>
              </w:rPr>
              <w:t>It should have been evident to Resolve (particularly in light of their contact’s previous experience with UPG) that the estimated value of the contract was significantly higher than the EU threshold of £189,330. As the estimated contract values indicate the contract was in excess of £500k, this opportunity should have led them down the ‘high value, over EU threshold’ route and an OJEU notice posted. Furthermore, the decision to re-let the contract was not included in the Forward Plan as a Key Decision and nor was Cabinet approval subsequently secured prior to awarding the contract.</w:t>
            </w:r>
          </w:p>
        </w:tc>
      </w:tr>
      <w:tr w:rsidR="00870F9F" w:rsidRPr="006A0EC0" w14:paraId="173A8B29" w14:textId="77777777" w:rsidTr="0072175C">
        <w:tc>
          <w:tcPr>
            <w:tcW w:w="851" w:type="dxa"/>
            <w:tcBorders>
              <w:top w:val="nil"/>
              <w:bottom w:val="single" w:sz="4" w:space="0" w:color="auto"/>
            </w:tcBorders>
          </w:tcPr>
          <w:p w14:paraId="3A7A2782" w14:textId="0641FA2A" w:rsidR="00870F9F" w:rsidRPr="00F31D31" w:rsidRDefault="00870F9F" w:rsidP="00060FFB">
            <w:pPr>
              <w:spacing w:before="120" w:after="120"/>
              <w:jc w:val="center"/>
              <w:rPr>
                <w:sz w:val="20"/>
                <w:szCs w:val="20"/>
              </w:rPr>
            </w:pPr>
          </w:p>
        </w:tc>
        <w:tc>
          <w:tcPr>
            <w:tcW w:w="9922" w:type="dxa"/>
            <w:tcBorders>
              <w:top w:val="nil"/>
              <w:bottom w:val="single" w:sz="4" w:space="0" w:color="auto"/>
            </w:tcBorders>
          </w:tcPr>
          <w:p w14:paraId="7B4A7CC4" w14:textId="38195520" w:rsidR="00870F9F" w:rsidRDefault="004A16B4" w:rsidP="00060FFB">
            <w:pPr>
              <w:spacing w:before="120" w:after="120"/>
              <w:contextualSpacing/>
              <w:rPr>
                <w:rFonts w:eastAsiaTheme="minorHAnsi" w:cs="Arial"/>
                <w:b/>
                <w:sz w:val="20"/>
                <w:szCs w:val="20"/>
              </w:rPr>
            </w:pPr>
            <w:r>
              <w:rPr>
                <w:rFonts w:eastAsiaTheme="minorHAnsi" w:cs="Arial"/>
                <w:b/>
                <w:sz w:val="20"/>
                <w:szCs w:val="20"/>
              </w:rPr>
              <w:t xml:space="preserve">Normal </w:t>
            </w:r>
            <w:r w:rsidR="00870F9F" w:rsidRPr="0065650A">
              <w:rPr>
                <w:rFonts w:eastAsiaTheme="minorHAnsi" w:cs="Arial"/>
                <w:b/>
                <w:sz w:val="20"/>
                <w:szCs w:val="20"/>
              </w:rPr>
              <w:t>Control Rating</w:t>
            </w:r>
            <w:r w:rsidR="00870F9F">
              <w:rPr>
                <w:rFonts w:eastAsiaTheme="minorHAnsi" w:cs="Arial"/>
                <w:b/>
                <w:sz w:val="20"/>
                <w:szCs w:val="20"/>
              </w:rPr>
              <w:t xml:space="preserve"> Key</w:t>
            </w:r>
          </w:p>
          <w:p w14:paraId="73A16389" w14:textId="77777777" w:rsidR="00986E54" w:rsidRDefault="00986E54" w:rsidP="00060FFB">
            <w:pPr>
              <w:spacing w:before="120" w:after="120"/>
              <w:contextualSpacing/>
              <w:rPr>
                <w:rFonts w:eastAsiaTheme="minorHAnsi" w:cs="Arial"/>
                <w:b/>
                <w:sz w:val="20"/>
                <w:szCs w:val="20"/>
              </w:rPr>
            </w:pPr>
            <w:r w:rsidRPr="00161C45">
              <w:rPr>
                <w:rFonts w:eastAsiaTheme="minorHAnsi" w:cs="Arial"/>
                <w:b/>
                <w:iCs/>
                <w:sz w:val="18"/>
                <w:szCs w:val="18"/>
              </w:rPr>
              <w:t xml:space="preserve">Full – </w:t>
            </w:r>
            <w:r w:rsidRPr="00161C45">
              <w:rPr>
                <w:rFonts w:eastAsiaTheme="minorHAnsi" w:cs="Arial"/>
                <w:iCs/>
                <w:sz w:val="18"/>
                <w:szCs w:val="18"/>
              </w:rPr>
              <w:t>the Authority can place complete reliance on the controls.  No control weaknesses exist.</w:t>
            </w:r>
          </w:p>
          <w:p w14:paraId="1174742F" w14:textId="77777777" w:rsidR="00986E54" w:rsidRDefault="00986E54" w:rsidP="00060FFB">
            <w:pPr>
              <w:spacing w:before="120" w:after="120"/>
              <w:contextualSpacing/>
              <w:rPr>
                <w:rFonts w:eastAsiaTheme="minorHAnsi" w:cs="Arial"/>
                <w:b/>
                <w:sz w:val="20"/>
                <w:szCs w:val="20"/>
              </w:rPr>
            </w:pPr>
            <w:r w:rsidRPr="00161C45">
              <w:rPr>
                <w:rFonts w:eastAsiaTheme="minorHAnsi" w:cs="Arial"/>
                <w:b/>
                <w:sz w:val="18"/>
                <w:szCs w:val="18"/>
                <w:lang w:val="en-US"/>
              </w:rPr>
              <w:t>Substantial</w:t>
            </w:r>
            <w:r w:rsidRPr="00161C45">
              <w:rPr>
                <w:rFonts w:eastAsiaTheme="minorHAnsi" w:cs="Arial"/>
                <w:sz w:val="18"/>
                <w:szCs w:val="18"/>
                <w:lang w:val="en-US"/>
              </w:rPr>
              <w:t xml:space="preserve"> - </w:t>
            </w:r>
            <w:r w:rsidRPr="00161C45">
              <w:rPr>
                <w:rFonts w:eastAsiaTheme="minorHAnsi" w:cs="Arial"/>
                <w:iCs/>
                <w:sz w:val="18"/>
                <w:szCs w:val="18"/>
              </w:rPr>
              <w:t>the Authority can place sufficient reliance on the controls. Only minor control weaknesses exist.</w:t>
            </w:r>
          </w:p>
          <w:p w14:paraId="3B99FAD4" w14:textId="77777777" w:rsidR="00986E54" w:rsidRDefault="00986E54" w:rsidP="00060FFB">
            <w:pPr>
              <w:spacing w:before="120" w:after="120"/>
              <w:contextualSpacing/>
              <w:rPr>
                <w:rFonts w:eastAsiaTheme="minorHAnsi" w:cs="Arial"/>
                <w:iCs/>
                <w:sz w:val="18"/>
                <w:szCs w:val="18"/>
              </w:rPr>
            </w:pPr>
            <w:r w:rsidRPr="00161C45">
              <w:rPr>
                <w:rFonts w:eastAsiaTheme="minorHAnsi" w:cs="Arial"/>
                <w:b/>
                <w:sz w:val="18"/>
                <w:szCs w:val="18"/>
                <w:lang w:val="en-US"/>
              </w:rPr>
              <w:t>Adequate</w:t>
            </w:r>
            <w:r w:rsidRPr="00161C45">
              <w:rPr>
                <w:rFonts w:eastAsiaTheme="minorHAnsi" w:cs="Arial"/>
                <w:sz w:val="18"/>
                <w:szCs w:val="18"/>
                <w:lang w:val="en-US"/>
              </w:rPr>
              <w:t xml:space="preserve"> -</w:t>
            </w:r>
            <w:r w:rsidRPr="00161C45">
              <w:rPr>
                <w:rFonts w:eastAsiaTheme="minorHAnsi" w:cs="Arial"/>
                <w:iCs/>
                <w:sz w:val="18"/>
                <w:szCs w:val="18"/>
              </w:rPr>
              <w:t xml:space="preserve"> the Authority can place only partial reliance on the controls.  Some control issues need to be resolved. </w:t>
            </w:r>
          </w:p>
          <w:p w14:paraId="1D3862FF" w14:textId="77777777" w:rsidR="00870F9F" w:rsidRPr="00986E54" w:rsidRDefault="00870F9F" w:rsidP="00060FFB">
            <w:pPr>
              <w:spacing w:before="120" w:after="120"/>
              <w:contextualSpacing/>
              <w:rPr>
                <w:rFonts w:eastAsiaTheme="minorHAnsi" w:cs="Arial"/>
                <w:iCs/>
                <w:sz w:val="18"/>
                <w:szCs w:val="18"/>
              </w:rPr>
            </w:pPr>
            <w:r w:rsidRPr="00161C45">
              <w:rPr>
                <w:rFonts w:eastAsiaTheme="minorHAnsi" w:cs="Arial"/>
                <w:b/>
                <w:sz w:val="18"/>
                <w:szCs w:val="18"/>
                <w:lang w:val="en-US"/>
              </w:rPr>
              <w:t>Limited</w:t>
            </w:r>
            <w:r w:rsidRPr="00161C45">
              <w:rPr>
                <w:rFonts w:eastAsiaTheme="minorHAnsi" w:cs="Arial"/>
                <w:iCs/>
                <w:sz w:val="18"/>
                <w:szCs w:val="18"/>
              </w:rPr>
              <w:t xml:space="preserve"> - the Authority cannot place sufficient reliance on the controls.  Substantive control weaknesses exist</w:t>
            </w:r>
          </w:p>
        </w:tc>
      </w:tr>
    </w:tbl>
    <w:p w14:paraId="361CB906" w14:textId="77777777" w:rsidR="00FF5388" w:rsidRDefault="00FF5388"/>
    <w:p w14:paraId="0C2AB221" w14:textId="77777777" w:rsidR="004A16B4" w:rsidRDefault="004A16B4"/>
    <w:tbl>
      <w:tblPr>
        <w:tblW w:w="1077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FF5388" w:rsidRPr="00D30D54" w14:paraId="70D42F19" w14:textId="77777777" w:rsidTr="00D1150E">
        <w:tc>
          <w:tcPr>
            <w:tcW w:w="851" w:type="dxa"/>
            <w:tcBorders>
              <w:bottom w:val="single" w:sz="6" w:space="0" w:color="auto"/>
            </w:tcBorders>
            <w:shd w:val="clear" w:color="auto" w:fill="B8CCE4" w:themeFill="accent1" w:themeFillTint="66"/>
          </w:tcPr>
          <w:p w14:paraId="3F36F669" w14:textId="39731974" w:rsidR="00FF5388" w:rsidRDefault="00060FFB" w:rsidP="00D1150E">
            <w:pPr>
              <w:spacing w:before="120" w:after="120"/>
              <w:jc w:val="center"/>
              <w:rPr>
                <w:b/>
              </w:rPr>
            </w:pPr>
            <w:r>
              <w:rPr>
                <w:b/>
              </w:rPr>
              <w:t>4</w:t>
            </w:r>
          </w:p>
        </w:tc>
        <w:tc>
          <w:tcPr>
            <w:tcW w:w="9922" w:type="dxa"/>
            <w:tcBorders>
              <w:bottom w:val="single" w:sz="6" w:space="0" w:color="auto"/>
            </w:tcBorders>
            <w:shd w:val="clear" w:color="auto" w:fill="B8CCE4" w:themeFill="accent1" w:themeFillTint="66"/>
          </w:tcPr>
          <w:p w14:paraId="3A97E90B" w14:textId="2DAF5FC3" w:rsidR="00FF5388" w:rsidRPr="00D30D54" w:rsidRDefault="00060FFB" w:rsidP="00D1150E">
            <w:pPr>
              <w:spacing w:before="120" w:after="120"/>
              <w:rPr>
                <w:b/>
              </w:rPr>
            </w:pPr>
            <w:r>
              <w:rPr>
                <w:b/>
              </w:rPr>
              <w:t>FINDINGS</w:t>
            </w:r>
          </w:p>
        </w:tc>
      </w:tr>
      <w:tr w:rsidR="00FF305F" w:rsidRPr="00D30D54" w14:paraId="37F3F16D" w14:textId="77777777" w:rsidTr="00D1150E">
        <w:tc>
          <w:tcPr>
            <w:tcW w:w="851" w:type="dxa"/>
            <w:tcBorders>
              <w:bottom w:val="single" w:sz="6" w:space="0" w:color="auto"/>
            </w:tcBorders>
            <w:shd w:val="clear" w:color="auto" w:fill="B8CCE4" w:themeFill="accent1" w:themeFillTint="66"/>
          </w:tcPr>
          <w:p w14:paraId="7D3040E7" w14:textId="77777777" w:rsidR="00FF305F" w:rsidRDefault="00FF305F" w:rsidP="00D1150E">
            <w:pPr>
              <w:spacing w:before="120" w:after="120"/>
              <w:jc w:val="center"/>
              <w:rPr>
                <w:b/>
              </w:rPr>
            </w:pPr>
          </w:p>
        </w:tc>
        <w:tc>
          <w:tcPr>
            <w:tcW w:w="9922" w:type="dxa"/>
            <w:tcBorders>
              <w:bottom w:val="single" w:sz="6" w:space="0" w:color="auto"/>
            </w:tcBorders>
            <w:shd w:val="clear" w:color="auto" w:fill="B8CCE4" w:themeFill="accent1" w:themeFillTint="66"/>
          </w:tcPr>
          <w:p w14:paraId="3F36E4CA" w14:textId="0B3DC42D" w:rsidR="00FF305F" w:rsidRDefault="00FF305F" w:rsidP="00D1150E">
            <w:pPr>
              <w:spacing w:before="120" w:after="120"/>
              <w:rPr>
                <w:b/>
              </w:rPr>
            </w:pPr>
            <w:r>
              <w:rPr>
                <w:b/>
              </w:rPr>
              <w:t>Utilities Contract</w:t>
            </w:r>
          </w:p>
        </w:tc>
      </w:tr>
      <w:tr w:rsidR="00FF5388" w:rsidRPr="006A0EC0" w14:paraId="60F5AB17" w14:textId="77777777" w:rsidTr="00236DD5">
        <w:tc>
          <w:tcPr>
            <w:tcW w:w="851" w:type="dxa"/>
            <w:tcBorders>
              <w:top w:val="nil"/>
              <w:bottom w:val="nil"/>
            </w:tcBorders>
          </w:tcPr>
          <w:p w14:paraId="171FC5B3" w14:textId="619665A6" w:rsidR="00FF5388" w:rsidRDefault="0072175C" w:rsidP="000641D0">
            <w:pPr>
              <w:spacing w:before="120" w:after="120"/>
              <w:jc w:val="center"/>
            </w:pPr>
            <w:r>
              <w:t>4</w:t>
            </w:r>
            <w:r w:rsidR="00FF5388">
              <w:t>.1</w:t>
            </w:r>
          </w:p>
          <w:p w14:paraId="3ED7430C" w14:textId="680BBF4A" w:rsidR="00FF5388" w:rsidRPr="00CF43E6" w:rsidRDefault="00FF5388" w:rsidP="000641D0">
            <w:pPr>
              <w:spacing w:before="120" w:after="120"/>
              <w:jc w:val="center"/>
              <w:rPr>
                <w:b/>
              </w:rPr>
            </w:pPr>
          </w:p>
        </w:tc>
        <w:tc>
          <w:tcPr>
            <w:tcW w:w="9922" w:type="dxa"/>
            <w:tcBorders>
              <w:top w:val="nil"/>
              <w:bottom w:val="nil"/>
            </w:tcBorders>
          </w:tcPr>
          <w:p w14:paraId="444D34F6" w14:textId="1763EB07" w:rsidR="00FF5388" w:rsidRPr="002C089B" w:rsidRDefault="005A4DBE" w:rsidP="0072175C">
            <w:pPr>
              <w:pStyle w:val="ListParagraph"/>
              <w:spacing w:before="120" w:after="120"/>
              <w:ind w:left="0"/>
              <w:rPr>
                <w:rFonts w:cs="Arial"/>
                <w:sz w:val="20"/>
                <w:szCs w:val="20"/>
              </w:rPr>
            </w:pPr>
            <w:r>
              <w:rPr>
                <w:rFonts w:cs="Arial"/>
                <w:sz w:val="20"/>
                <w:szCs w:val="20"/>
              </w:rPr>
              <w:t xml:space="preserve">As it was already known that CPR’s and FPR’s had been breached, the review was undertaken to identify what breaches had occurred and the extent of those breaches, this will also determine the material value of costs. A   </w:t>
            </w:r>
            <w:r w:rsidR="00FF5388" w:rsidRPr="002C089B">
              <w:rPr>
                <w:rFonts w:cs="Arial"/>
                <w:sz w:val="20"/>
                <w:szCs w:val="20"/>
              </w:rPr>
              <w:t xml:space="preserve"> review of available documentation an</w:t>
            </w:r>
            <w:r>
              <w:rPr>
                <w:rFonts w:cs="Arial"/>
                <w:sz w:val="20"/>
                <w:szCs w:val="20"/>
              </w:rPr>
              <w:t>d discussions with key officers formed the basis of the review.  A summary of the findings is outlined below.</w:t>
            </w:r>
          </w:p>
        </w:tc>
      </w:tr>
      <w:tr w:rsidR="008F783F" w:rsidRPr="006A0EC0" w14:paraId="46D2412F" w14:textId="77777777" w:rsidTr="00662B89">
        <w:tc>
          <w:tcPr>
            <w:tcW w:w="851" w:type="dxa"/>
            <w:tcBorders>
              <w:top w:val="nil"/>
              <w:left w:val="single" w:sz="4" w:space="0" w:color="auto"/>
              <w:bottom w:val="nil"/>
            </w:tcBorders>
          </w:tcPr>
          <w:p w14:paraId="7D456B58" w14:textId="6F3C3CB0" w:rsidR="008F783F" w:rsidRPr="00F31D31" w:rsidRDefault="0072175C" w:rsidP="000641D0">
            <w:pPr>
              <w:spacing w:before="120" w:after="120"/>
              <w:jc w:val="center"/>
              <w:rPr>
                <w:sz w:val="20"/>
                <w:szCs w:val="20"/>
              </w:rPr>
            </w:pPr>
            <w:r>
              <w:rPr>
                <w:sz w:val="20"/>
                <w:szCs w:val="20"/>
              </w:rPr>
              <w:t>4.2</w:t>
            </w:r>
          </w:p>
        </w:tc>
        <w:tc>
          <w:tcPr>
            <w:tcW w:w="9922" w:type="dxa"/>
            <w:tcBorders>
              <w:top w:val="nil"/>
              <w:bottom w:val="nil"/>
            </w:tcBorders>
          </w:tcPr>
          <w:p w14:paraId="44ABD1AA" w14:textId="7012B840" w:rsidR="008F783F" w:rsidRPr="002C089B" w:rsidRDefault="005A4DBE" w:rsidP="000641D0">
            <w:pPr>
              <w:spacing w:before="120" w:after="120"/>
              <w:jc w:val="both"/>
              <w:rPr>
                <w:rFonts w:cs="Arial"/>
                <w:sz w:val="20"/>
                <w:szCs w:val="20"/>
              </w:rPr>
            </w:pPr>
            <w:r>
              <w:rPr>
                <w:rFonts w:cs="Arial"/>
                <w:sz w:val="20"/>
                <w:szCs w:val="20"/>
              </w:rPr>
              <w:t>T</w:t>
            </w:r>
            <w:r w:rsidR="008F783F" w:rsidRPr="002C089B">
              <w:rPr>
                <w:rFonts w:cs="Arial"/>
                <w:sz w:val="20"/>
                <w:szCs w:val="20"/>
              </w:rPr>
              <w:t xml:space="preserve">he previous contract </w:t>
            </w:r>
            <w:r>
              <w:rPr>
                <w:rFonts w:cs="Arial"/>
                <w:sz w:val="20"/>
                <w:szCs w:val="20"/>
              </w:rPr>
              <w:t xml:space="preserve">was due to end </w:t>
            </w:r>
            <w:r w:rsidR="008F783F" w:rsidRPr="002C089B">
              <w:rPr>
                <w:rFonts w:cs="Arial"/>
                <w:sz w:val="20"/>
                <w:szCs w:val="20"/>
              </w:rPr>
              <w:t>on 30</w:t>
            </w:r>
            <w:r w:rsidR="008F783F" w:rsidRPr="002C089B">
              <w:rPr>
                <w:rFonts w:cs="Arial"/>
                <w:sz w:val="20"/>
                <w:szCs w:val="20"/>
                <w:vertAlign w:val="superscript"/>
              </w:rPr>
              <w:t>th</w:t>
            </w:r>
            <w:r w:rsidR="008F783F" w:rsidRPr="002C089B">
              <w:rPr>
                <w:rFonts w:cs="Arial"/>
                <w:sz w:val="20"/>
                <w:szCs w:val="20"/>
              </w:rPr>
              <w:t xml:space="preserve"> Sept 2019, Audit were informed by Procurement that the contract required a 12 month notice period to terminate. Evidence was provided to audit of the Procurement team raising the need to address the upcoming ending of the previous contract</w:t>
            </w:r>
            <w:r>
              <w:rPr>
                <w:rFonts w:cs="Arial"/>
                <w:sz w:val="20"/>
                <w:szCs w:val="20"/>
              </w:rPr>
              <w:t xml:space="preserve"> with the Assistant Director - Neighbourhoods</w:t>
            </w:r>
            <w:r w:rsidR="008F783F" w:rsidRPr="002C089B">
              <w:rPr>
                <w:rFonts w:cs="Arial"/>
                <w:sz w:val="20"/>
                <w:szCs w:val="20"/>
              </w:rPr>
              <w:t>:</w:t>
            </w:r>
          </w:p>
          <w:p w14:paraId="0E9748B1" w14:textId="77777777" w:rsidR="008F783F" w:rsidRPr="002C089B" w:rsidRDefault="008F783F" w:rsidP="000641D0">
            <w:pPr>
              <w:pStyle w:val="ListParagraph"/>
              <w:spacing w:before="120" w:after="120"/>
              <w:jc w:val="both"/>
              <w:rPr>
                <w:rFonts w:cs="Arial"/>
                <w:sz w:val="20"/>
                <w:szCs w:val="20"/>
              </w:rPr>
            </w:pPr>
          </w:p>
          <w:p w14:paraId="5CCC7149" w14:textId="55196B99" w:rsidR="008F783F" w:rsidRPr="002C089B" w:rsidRDefault="008F783F" w:rsidP="004A16B4">
            <w:pPr>
              <w:pStyle w:val="ListParagraph"/>
              <w:numPr>
                <w:ilvl w:val="0"/>
                <w:numId w:val="4"/>
              </w:numPr>
              <w:spacing w:before="120" w:after="120"/>
              <w:ind w:left="351" w:hanging="284"/>
              <w:jc w:val="both"/>
              <w:rPr>
                <w:rFonts w:cs="Arial"/>
                <w:i/>
                <w:sz w:val="20"/>
                <w:szCs w:val="20"/>
              </w:rPr>
            </w:pPr>
            <w:r w:rsidRPr="002C089B">
              <w:rPr>
                <w:rFonts w:cs="Arial"/>
                <w:sz w:val="20"/>
                <w:szCs w:val="20"/>
              </w:rPr>
              <w:t>In an email</w:t>
            </w:r>
            <w:r>
              <w:rPr>
                <w:rFonts w:cs="Arial"/>
                <w:sz w:val="20"/>
                <w:szCs w:val="20"/>
              </w:rPr>
              <w:t>,</w:t>
            </w:r>
            <w:r w:rsidRPr="002C089B">
              <w:rPr>
                <w:rFonts w:cs="Arial"/>
                <w:sz w:val="20"/>
                <w:szCs w:val="20"/>
              </w:rPr>
              <w:t xml:space="preserve"> dated 7/8/18, the AD</w:t>
            </w:r>
            <w:r w:rsidR="005A4DBE">
              <w:rPr>
                <w:rFonts w:cs="Arial"/>
                <w:sz w:val="20"/>
                <w:szCs w:val="20"/>
              </w:rPr>
              <w:t xml:space="preserve"> - </w:t>
            </w:r>
            <w:r w:rsidRPr="002C089B">
              <w:rPr>
                <w:rFonts w:cs="Arial"/>
                <w:sz w:val="20"/>
                <w:szCs w:val="20"/>
              </w:rPr>
              <w:t xml:space="preserve">Neighbourhoods was made aware of the ‘12 month notice’ </w:t>
            </w:r>
            <w:r>
              <w:rPr>
                <w:rFonts w:cs="Arial"/>
                <w:sz w:val="20"/>
                <w:szCs w:val="20"/>
              </w:rPr>
              <w:t>requirement</w:t>
            </w:r>
            <w:r w:rsidRPr="002C089B">
              <w:rPr>
                <w:rFonts w:cs="Arial"/>
                <w:sz w:val="20"/>
                <w:szCs w:val="20"/>
              </w:rPr>
              <w:t xml:space="preserve"> and the need to take action if they do not wish to be committed to ‘</w:t>
            </w:r>
            <w:r w:rsidRPr="002C089B">
              <w:rPr>
                <w:rFonts w:cs="Arial"/>
                <w:i/>
                <w:sz w:val="20"/>
                <w:szCs w:val="20"/>
              </w:rPr>
              <w:t>the next framework refresh by UPG unless they serve a minimum of 12 months written notice stating that they do not wish to be automatically committed to any further competitions.’</w:t>
            </w:r>
          </w:p>
          <w:p w14:paraId="5D004366" w14:textId="77777777" w:rsidR="008F783F" w:rsidRPr="004A16B4" w:rsidRDefault="008F783F" w:rsidP="004A16B4">
            <w:pPr>
              <w:pStyle w:val="ListParagraph"/>
              <w:numPr>
                <w:ilvl w:val="0"/>
                <w:numId w:val="4"/>
              </w:numPr>
              <w:spacing w:before="120" w:after="120"/>
              <w:ind w:left="351" w:hanging="284"/>
              <w:jc w:val="both"/>
              <w:rPr>
                <w:rFonts w:eastAsiaTheme="minorHAnsi" w:cs="Arial"/>
                <w:iCs/>
                <w:sz w:val="18"/>
                <w:szCs w:val="18"/>
              </w:rPr>
            </w:pPr>
            <w:r w:rsidRPr="002C089B">
              <w:rPr>
                <w:rFonts w:cs="Arial"/>
                <w:sz w:val="20"/>
                <w:szCs w:val="20"/>
              </w:rPr>
              <w:t>In a further email</w:t>
            </w:r>
            <w:r>
              <w:rPr>
                <w:rFonts w:cs="Arial"/>
                <w:sz w:val="20"/>
                <w:szCs w:val="20"/>
              </w:rPr>
              <w:t>,</w:t>
            </w:r>
            <w:r w:rsidRPr="002C089B">
              <w:rPr>
                <w:rFonts w:cs="Arial"/>
                <w:sz w:val="20"/>
                <w:szCs w:val="20"/>
              </w:rPr>
              <w:t xml:space="preserve"> dated 8/5/19</w:t>
            </w:r>
            <w:r>
              <w:rPr>
                <w:rFonts w:cs="Arial"/>
                <w:sz w:val="20"/>
                <w:szCs w:val="20"/>
              </w:rPr>
              <w:t>,</w:t>
            </w:r>
            <w:r w:rsidRPr="002C089B">
              <w:rPr>
                <w:rFonts w:cs="Arial"/>
                <w:sz w:val="20"/>
                <w:szCs w:val="20"/>
              </w:rPr>
              <w:t xml:space="preserve"> to both the Assistant Directors </w:t>
            </w:r>
            <w:r w:rsidR="0072175C">
              <w:rPr>
                <w:rFonts w:cs="Arial"/>
                <w:sz w:val="20"/>
                <w:szCs w:val="20"/>
              </w:rPr>
              <w:t xml:space="preserve">- </w:t>
            </w:r>
            <w:r w:rsidRPr="002C089B">
              <w:rPr>
                <w:rFonts w:cs="Arial"/>
                <w:sz w:val="20"/>
                <w:szCs w:val="20"/>
              </w:rPr>
              <w:t>Neighbourhoods and Projects &amp; Development, a further reminder was given in respect of the imminent end of the gas/electric contract and the need to take action.</w:t>
            </w:r>
          </w:p>
          <w:p w14:paraId="6B340C8C" w14:textId="5C9B117C" w:rsidR="004A16B4" w:rsidRPr="00986E54" w:rsidRDefault="004A16B4" w:rsidP="004A16B4">
            <w:pPr>
              <w:pStyle w:val="ListParagraph"/>
              <w:spacing w:before="120" w:after="120"/>
              <w:ind w:left="351"/>
              <w:jc w:val="both"/>
              <w:rPr>
                <w:rFonts w:eastAsiaTheme="minorHAnsi" w:cs="Arial"/>
                <w:iCs/>
                <w:sz w:val="18"/>
                <w:szCs w:val="18"/>
              </w:rPr>
            </w:pPr>
          </w:p>
        </w:tc>
      </w:tr>
      <w:tr w:rsidR="005A4DBE" w:rsidRPr="006A0EC0" w14:paraId="4F6D48DD" w14:textId="77777777" w:rsidTr="00662B89">
        <w:tc>
          <w:tcPr>
            <w:tcW w:w="851" w:type="dxa"/>
            <w:tcBorders>
              <w:top w:val="nil"/>
              <w:left w:val="single" w:sz="4" w:space="0" w:color="auto"/>
              <w:bottom w:val="single" w:sz="4" w:space="0" w:color="auto"/>
            </w:tcBorders>
          </w:tcPr>
          <w:p w14:paraId="1676CADC" w14:textId="23BFA554" w:rsidR="005A4DBE" w:rsidRPr="00F31D31" w:rsidRDefault="00236DD5" w:rsidP="000641D0">
            <w:pPr>
              <w:spacing w:before="120" w:after="120"/>
              <w:jc w:val="center"/>
              <w:rPr>
                <w:sz w:val="20"/>
                <w:szCs w:val="20"/>
              </w:rPr>
            </w:pPr>
            <w:r>
              <w:rPr>
                <w:sz w:val="20"/>
                <w:szCs w:val="20"/>
              </w:rPr>
              <w:t>4.3</w:t>
            </w:r>
          </w:p>
        </w:tc>
        <w:tc>
          <w:tcPr>
            <w:tcW w:w="9922" w:type="dxa"/>
            <w:tcBorders>
              <w:top w:val="nil"/>
              <w:bottom w:val="single" w:sz="4" w:space="0" w:color="auto"/>
            </w:tcBorders>
          </w:tcPr>
          <w:p w14:paraId="665113B1" w14:textId="7067205F" w:rsidR="005A4DBE" w:rsidRPr="009E5421" w:rsidRDefault="005A4DBE" w:rsidP="009E5421">
            <w:pPr>
              <w:spacing w:before="120" w:after="120"/>
              <w:jc w:val="both"/>
              <w:rPr>
                <w:rFonts w:cs="Arial"/>
                <w:sz w:val="20"/>
                <w:szCs w:val="20"/>
              </w:rPr>
            </w:pPr>
            <w:r>
              <w:rPr>
                <w:rFonts w:cs="Arial"/>
                <w:sz w:val="20"/>
                <w:szCs w:val="20"/>
              </w:rPr>
              <w:t xml:space="preserve">The email of the 7/08/18, outlines that </w:t>
            </w:r>
            <w:r w:rsidR="009E5421">
              <w:rPr>
                <w:rFonts w:cs="Arial"/>
                <w:sz w:val="20"/>
                <w:szCs w:val="20"/>
              </w:rPr>
              <w:t xml:space="preserve">the Council will need to serve notice as soon as possible and states </w:t>
            </w:r>
            <w:r w:rsidR="009E5421">
              <w:rPr>
                <w:rFonts w:cs="Arial"/>
                <w:i/>
                <w:sz w:val="20"/>
                <w:szCs w:val="20"/>
              </w:rPr>
              <w:t xml:space="preserve">“…in the past Property Services have dealt with all Utilities contracts and I can only presume that they obtained any necessary approvals to allow them to be automatically committed prior to the deadline for serving notice expiring”.  </w:t>
            </w:r>
            <w:r w:rsidR="009E5421">
              <w:rPr>
                <w:rFonts w:cs="Arial"/>
                <w:sz w:val="20"/>
                <w:szCs w:val="20"/>
              </w:rPr>
              <w:t>The requirement to serve notice is key for the Council as the failure to serve notice and therefore fall “out of contract” results in a fine by the incumbent supplier, if not renewed by the renewal date of September 2019.</w:t>
            </w:r>
          </w:p>
        </w:tc>
      </w:tr>
      <w:tr w:rsidR="009E5421" w:rsidRPr="006A0EC0" w14:paraId="5581887D" w14:textId="77777777" w:rsidTr="00662B89">
        <w:tc>
          <w:tcPr>
            <w:tcW w:w="851" w:type="dxa"/>
            <w:tcBorders>
              <w:top w:val="single" w:sz="4" w:space="0" w:color="auto"/>
              <w:bottom w:val="nil"/>
            </w:tcBorders>
          </w:tcPr>
          <w:p w14:paraId="3F709B12" w14:textId="0A364543" w:rsidR="009E5421" w:rsidRPr="00F31D31" w:rsidRDefault="00236DD5" w:rsidP="000641D0">
            <w:pPr>
              <w:spacing w:before="120" w:after="120"/>
              <w:jc w:val="center"/>
              <w:rPr>
                <w:sz w:val="20"/>
                <w:szCs w:val="20"/>
              </w:rPr>
            </w:pPr>
            <w:r>
              <w:rPr>
                <w:sz w:val="20"/>
                <w:szCs w:val="20"/>
              </w:rPr>
              <w:t>4.4</w:t>
            </w:r>
          </w:p>
        </w:tc>
        <w:tc>
          <w:tcPr>
            <w:tcW w:w="9922" w:type="dxa"/>
            <w:tcBorders>
              <w:top w:val="single" w:sz="4" w:space="0" w:color="auto"/>
              <w:bottom w:val="nil"/>
            </w:tcBorders>
          </w:tcPr>
          <w:p w14:paraId="5DF9DC33" w14:textId="7E68516E" w:rsidR="009E5421" w:rsidRDefault="009E5421" w:rsidP="0072175C">
            <w:pPr>
              <w:spacing w:before="120" w:after="120"/>
              <w:jc w:val="both"/>
              <w:rPr>
                <w:rFonts w:cs="Arial"/>
                <w:sz w:val="20"/>
                <w:szCs w:val="20"/>
              </w:rPr>
            </w:pPr>
            <w:r w:rsidRPr="002C089B">
              <w:rPr>
                <w:rFonts w:cs="Arial"/>
                <w:sz w:val="20"/>
                <w:szCs w:val="20"/>
              </w:rPr>
              <w:t xml:space="preserve">The audit could not </w:t>
            </w:r>
            <w:r w:rsidR="0072175C">
              <w:rPr>
                <w:rFonts w:cs="Arial"/>
                <w:sz w:val="20"/>
                <w:szCs w:val="20"/>
              </w:rPr>
              <w:t>determine what action was taken at this point, if any and cannot establish</w:t>
            </w:r>
            <w:r w:rsidRPr="002C089B">
              <w:rPr>
                <w:rFonts w:cs="Arial"/>
                <w:sz w:val="20"/>
                <w:szCs w:val="20"/>
              </w:rPr>
              <w:t xml:space="preserve"> whether 12 months’ notice had been given to terminate the previous contract</w:t>
            </w:r>
            <w:r w:rsidR="0072175C">
              <w:rPr>
                <w:rFonts w:cs="Arial"/>
                <w:sz w:val="20"/>
                <w:szCs w:val="20"/>
              </w:rPr>
              <w:t>.  This leaves the Council open to risk of financial and legislative harm.</w:t>
            </w:r>
          </w:p>
        </w:tc>
      </w:tr>
      <w:tr w:rsidR="008F783F" w:rsidRPr="006A0EC0" w14:paraId="66864668" w14:textId="77777777" w:rsidTr="00236DD5">
        <w:tc>
          <w:tcPr>
            <w:tcW w:w="851" w:type="dxa"/>
            <w:tcBorders>
              <w:top w:val="nil"/>
              <w:bottom w:val="nil"/>
            </w:tcBorders>
          </w:tcPr>
          <w:p w14:paraId="5A2005F1" w14:textId="5F0BD93B" w:rsidR="008F783F" w:rsidRPr="00F31D31" w:rsidRDefault="00236DD5" w:rsidP="000641D0">
            <w:pPr>
              <w:spacing w:before="120" w:after="120"/>
              <w:jc w:val="center"/>
              <w:rPr>
                <w:sz w:val="20"/>
                <w:szCs w:val="20"/>
              </w:rPr>
            </w:pPr>
            <w:r>
              <w:rPr>
                <w:sz w:val="20"/>
                <w:szCs w:val="20"/>
              </w:rPr>
              <w:t>4.5</w:t>
            </w:r>
          </w:p>
        </w:tc>
        <w:tc>
          <w:tcPr>
            <w:tcW w:w="9922" w:type="dxa"/>
            <w:tcBorders>
              <w:top w:val="nil"/>
              <w:bottom w:val="nil"/>
            </w:tcBorders>
          </w:tcPr>
          <w:p w14:paraId="1990E3F7" w14:textId="0308D3D0" w:rsidR="008F783F" w:rsidRPr="002C089B" w:rsidRDefault="008F783F" w:rsidP="0072175C">
            <w:pPr>
              <w:spacing w:before="120" w:after="120"/>
              <w:jc w:val="both"/>
              <w:rPr>
                <w:rFonts w:cs="Arial"/>
                <w:sz w:val="20"/>
                <w:szCs w:val="20"/>
              </w:rPr>
            </w:pPr>
            <w:r w:rsidRPr="002C089B">
              <w:rPr>
                <w:rFonts w:cs="Arial"/>
                <w:sz w:val="20"/>
                <w:szCs w:val="20"/>
              </w:rPr>
              <w:t>Sometime in early-mid 2019 the Council’s Facilities Manager was contacted by a representative of Resolve Energy, who formally was the Council’s contact with UPG but had since moved to Resolve Energy. The Facilities Manager was informed that the contract with SHE was due to come to an end (on 30/9/19) and that to remain with the current arrangements would incur a significant increase in costs to the Council. The RE contact offered the services of RE, explaining to the Facilities Manager that significant savings could be made from switching to another supplier.</w:t>
            </w:r>
          </w:p>
        </w:tc>
      </w:tr>
      <w:tr w:rsidR="008F783F" w:rsidRPr="006A0EC0" w14:paraId="33AEEE7F" w14:textId="77777777" w:rsidTr="00236DD5">
        <w:tc>
          <w:tcPr>
            <w:tcW w:w="851" w:type="dxa"/>
            <w:tcBorders>
              <w:top w:val="nil"/>
              <w:bottom w:val="nil"/>
            </w:tcBorders>
          </w:tcPr>
          <w:p w14:paraId="266A79AA" w14:textId="6499879F" w:rsidR="008F783F" w:rsidRPr="00F31D31" w:rsidRDefault="00236DD5" w:rsidP="000641D0">
            <w:pPr>
              <w:spacing w:before="120" w:after="120"/>
              <w:jc w:val="center"/>
              <w:rPr>
                <w:sz w:val="20"/>
                <w:szCs w:val="20"/>
              </w:rPr>
            </w:pPr>
            <w:r>
              <w:rPr>
                <w:sz w:val="20"/>
                <w:szCs w:val="20"/>
              </w:rPr>
              <w:t>4.6</w:t>
            </w:r>
          </w:p>
        </w:tc>
        <w:tc>
          <w:tcPr>
            <w:tcW w:w="9922" w:type="dxa"/>
            <w:tcBorders>
              <w:top w:val="nil"/>
              <w:bottom w:val="nil"/>
            </w:tcBorders>
          </w:tcPr>
          <w:p w14:paraId="5DCA4466" w14:textId="04B286F1" w:rsidR="008F783F" w:rsidRPr="002C089B" w:rsidRDefault="008F783F" w:rsidP="0072175C">
            <w:pPr>
              <w:spacing w:before="120" w:after="120"/>
              <w:jc w:val="both"/>
              <w:rPr>
                <w:rFonts w:cs="Arial"/>
                <w:sz w:val="20"/>
                <w:szCs w:val="20"/>
              </w:rPr>
            </w:pPr>
            <w:r w:rsidRPr="002C089B">
              <w:rPr>
                <w:rFonts w:cs="Arial"/>
                <w:sz w:val="20"/>
                <w:szCs w:val="20"/>
              </w:rPr>
              <w:t>Evidence was provided that on 24/6/19 a letter was provided by the Council’s Facilities Manager giving Resolve Energy (RE) various authorities, including that to issue a Termination Notice to the previous supplier. Whilst RE were subsequently asked how termination was given to the former supplier, evidence was only available that RE referred to the letter dated 24/6/19 and does not actually say if / when notice was given, merely referring to when the new supplier instigated the switch.</w:t>
            </w:r>
          </w:p>
        </w:tc>
      </w:tr>
      <w:tr w:rsidR="008F783F" w:rsidRPr="006A0EC0" w14:paraId="3D9AA186" w14:textId="77777777" w:rsidTr="00236DD5">
        <w:tc>
          <w:tcPr>
            <w:tcW w:w="851" w:type="dxa"/>
            <w:tcBorders>
              <w:top w:val="nil"/>
              <w:bottom w:val="nil"/>
            </w:tcBorders>
          </w:tcPr>
          <w:p w14:paraId="273AABBC" w14:textId="70F4BAC5" w:rsidR="008F783F" w:rsidRPr="00F31D31" w:rsidRDefault="00236DD5" w:rsidP="000641D0">
            <w:pPr>
              <w:spacing w:before="120" w:after="120"/>
              <w:jc w:val="center"/>
              <w:rPr>
                <w:sz w:val="20"/>
                <w:szCs w:val="20"/>
              </w:rPr>
            </w:pPr>
            <w:r>
              <w:rPr>
                <w:sz w:val="20"/>
                <w:szCs w:val="20"/>
              </w:rPr>
              <w:t>4.7</w:t>
            </w:r>
          </w:p>
        </w:tc>
        <w:tc>
          <w:tcPr>
            <w:tcW w:w="9922" w:type="dxa"/>
            <w:tcBorders>
              <w:top w:val="nil"/>
              <w:bottom w:val="nil"/>
            </w:tcBorders>
          </w:tcPr>
          <w:p w14:paraId="10DB06A5" w14:textId="3D98F56E" w:rsidR="008F783F" w:rsidRPr="002C089B" w:rsidRDefault="008F783F" w:rsidP="000641D0">
            <w:pPr>
              <w:spacing w:before="120" w:after="120"/>
              <w:jc w:val="both"/>
              <w:rPr>
                <w:rFonts w:cs="Arial"/>
                <w:sz w:val="20"/>
                <w:szCs w:val="20"/>
              </w:rPr>
            </w:pPr>
            <w:r w:rsidRPr="002C089B">
              <w:rPr>
                <w:rFonts w:cs="Arial"/>
                <w:sz w:val="20"/>
                <w:szCs w:val="20"/>
              </w:rPr>
              <w:t>Whilst line management of the Facilities Manager were aware of the imminent need to address the ending of the utilities contract(s), he was relatively new in post and little, if any, support was provided to the Facilities Manager with regards the correct procurement route to follow. The Facilities Manager had received no training (induction nor ongoing) with regards the Council’s Contract Procurement Rules and was largely left to manage the process. Furthermore, the Facilities Manager acknowledges that he did not request advice / support from the Council’s Procurement Team</w:t>
            </w:r>
          </w:p>
        </w:tc>
      </w:tr>
      <w:tr w:rsidR="008F783F" w:rsidRPr="006A0EC0" w14:paraId="2788B18D" w14:textId="77777777" w:rsidTr="00236DD5">
        <w:tc>
          <w:tcPr>
            <w:tcW w:w="851" w:type="dxa"/>
            <w:tcBorders>
              <w:top w:val="nil"/>
              <w:bottom w:val="nil"/>
            </w:tcBorders>
          </w:tcPr>
          <w:p w14:paraId="25242CFB" w14:textId="77AE19DD" w:rsidR="008F783F" w:rsidRPr="00F31D31" w:rsidRDefault="00236DD5" w:rsidP="000641D0">
            <w:pPr>
              <w:spacing w:before="120" w:after="120"/>
              <w:jc w:val="center"/>
              <w:rPr>
                <w:sz w:val="20"/>
                <w:szCs w:val="20"/>
              </w:rPr>
            </w:pPr>
            <w:r>
              <w:rPr>
                <w:sz w:val="20"/>
                <w:szCs w:val="20"/>
              </w:rPr>
              <w:t>4.8</w:t>
            </w:r>
          </w:p>
        </w:tc>
        <w:tc>
          <w:tcPr>
            <w:tcW w:w="9922" w:type="dxa"/>
            <w:tcBorders>
              <w:top w:val="nil"/>
              <w:bottom w:val="nil"/>
            </w:tcBorders>
          </w:tcPr>
          <w:p w14:paraId="1DF99C78" w14:textId="77777777" w:rsidR="008F783F" w:rsidRPr="002C089B" w:rsidRDefault="008F783F" w:rsidP="000641D0">
            <w:pPr>
              <w:spacing w:before="120" w:after="120"/>
              <w:jc w:val="both"/>
              <w:rPr>
                <w:rFonts w:cs="Arial"/>
                <w:sz w:val="20"/>
                <w:szCs w:val="20"/>
              </w:rPr>
            </w:pPr>
            <w:r w:rsidRPr="002C089B">
              <w:rPr>
                <w:rFonts w:cs="Arial"/>
                <w:sz w:val="20"/>
                <w:szCs w:val="20"/>
              </w:rPr>
              <w:t>Having been convinced of the benefits of moving energy brokers, and subsequently changing suppliers, RE were instructed by the Facilities Manager to progress with the re-letting of the gas / electricity contract.</w:t>
            </w:r>
          </w:p>
          <w:p w14:paraId="0BF46C4E" w14:textId="77777777" w:rsidR="008F783F" w:rsidRPr="002C089B" w:rsidRDefault="008F783F" w:rsidP="000641D0">
            <w:pPr>
              <w:spacing w:before="120" w:after="120"/>
              <w:jc w:val="both"/>
              <w:rPr>
                <w:rFonts w:cs="Arial"/>
                <w:sz w:val="20"/>
                <w:szCs w:val="20"/>
              </w:rPr>
            </w:pPr>
            <w:r w:rsidRPr="002C089B">
              <w:rPr>
                <w:rFonts w:cs="Arial"/>
                <w:sz w:val="20"/>
                <w:szCs w:val="20"/>
              </w:rPr>
              <w:t>From discussions with Procurement, and review of available documentation, RE subsequently:</w:t>
            </w:r>
          </w:p>
          <w:p w14:paraId="3AEBB577" w14:textId="77777777" w:rsidR="008F783F" w:rsidRPr="002C089B" w:rsidRDefault="008F783F" w:rsidP="004A16B4">
            <w:pPr>
              <w:pStyle w:val="ListParagraph"/>
              <w:numPr>
                <w:ilvl w:val="0"/>
                <w:numId w:val="4"/>
              </w:numPr>
              <w:spacing w:before="120" w:after="120"/>
              <w:ind w:left="493" w:hanging="426"/>
              <w:jc w:val="both"/>
              <w:rPr>
                <w:rFonts w:cs="Arial"/>
                <w:sz w:val="20"/>
                <w:szCs w:val="20"/>
              </w:rPr>
            </w:pPr>
            <w:r w:rsidRPr="002C089B">
              <w:rPr>
                <w:rFonts w:cs="Arial"/>
                <w:sz w:val="20"/>
                <w:szCs w:val="20"/>
              </w:rPr>
              <w:t>Did not publish an OJEU notice.</w:t>
            </w:r>
          </w:p>
          <w:p w14:paraId="7F9D7ADB" w14:textId="77777777" w:rsidR="008F783F" w:rsidRPr="002C089B" w:rsidRDefault="008F783F" w:rsidP="004A16B4">
            <w:pPr>
              <w:pStyle w:val="ListParagraph"/>
              <w:numPr>
                <w:ilvl w:val="0"/>
                <w:numId w:val="4"/>
              </w:numPr>
              <w:spacing w:before="120" w:after="120"/>
              <w:ind w:left="493" w:hanging="426"/>
              <w:jc w:val="both"/>
              <w:rPr>
                <w:rFonts w:cs="Arial"/>
                <w:sz w:val="20"/>
                <w:szCs w:val="20"/>
              </w:rPr>
            </w:pPr>
            <w:r w:rsidRPr="002C089B">
              <w:rPr>
                <w:rFonts w:cs="Arial"/>
                <w:sz w:val="20"/>
                <w:szCs w:val="20"/>
              </w:rPr>
              <w:t>Did not publish the opportunity on the North West Local Authority Procurement Portal, The Chest.</w:t>
            </w:r>
          </w:p>
          <w:p w14:paraId="577F2196" w14:textId="77777777" w:rsidR="008F783F" w:rsidRPr="002C089B" w:rsidRDefault="008F783F" w:rsidP="004A16B4">
            <w:pPr>
              <w:pStyle w:val="ListParagraph"/>
              <w:numPr>
                <w:ilvl w:val="0"/>
                <w:numId w:val="4"/>
              </w:numPr>
              <w:spacing w:before="120" w:after="120"/>
              <w:ind w:left="493" w:hanging="426"/>
              <w:jc w:val="both"/>
              <w:rPr>
                <w:rFonts w:cs="Arial"/>
                <w:sz w:val="20"/>
                <w:szCs w:val="20"/>
              </w:rPr>
            </w:pPr>
            <w:r w:rsidRPr="002C089B">
              <w:rPr>
                <w:rFonts w:cs="Arial"/>
                <w:sz w:val="20"/>
                <w:szCs w:val="20"/>
              </w:rPr>
              <w:t>Issued a Tender Opportunity Notice clearly stating that it was being awarded on behalf of SRBC as the contracting authority and looking for ‘</w:t>
            </w:r>
            <w:r w:rsidRPr="002C089B">
              <w:rPr>
                <w:rFonts w:cs="Arial"/>
                <w:i/>
                <w:sz w:val="20"/>
                <w:szCs w:val="20"/>
              </w:rPr>
              <w:t>one single supplier to provide non-half hourly electricity, half hourly electricity and gas’.</w:t>
            </w:r>
          </w:p>
          <w:p w14:paraId="77DE55A6" w14:textId="1B0B5BA1" w:rsidR="008F783F" w:rsidRPr="002C089B" w:rsidRDefault="008F783F" w:rsidP="004A16B4">
            <w:pPr>
              <w:pStyle w:val="ListParagraph"/>
              <w:numPr>
                <w:ilvl w:val="0"/>
                <w:numId w:val="4"/>
              </w:numPr>
              <w:spacing w:before="120" w:after="120"/>
              <w:ind w:left="493" w:hanging="426"/>
              <w:jc w:val="both"/>
              <w:rPr>
                <w:rFonts w:cs="Arial"/>
                <w:sz w:val="20"/>
                <w:szCs w:val="20"/>
              </w:rPr>
            </w:pPr>
            <w:r w:rsidRPr="002C089B">
              <w:rPr>
                <w:rFonts w:cs="Arial"/>
                <w:sz w:val="20"/>
                <w:szCs w:val="20"/>
              </w:rPr>
              <w:t>Posted both the opportunity and the award on Contracts Finder, indicating the value of the contract as £10k.</w:t>
            </w:r>
          </w:p>
        </w:tc>
      </w:tr>
      <w:tr w:rsidR="008F783F" w:rsidRPr="006A0EC0" w14:paraId="186C5A44" w14:textId="77777777" w:rsidTr="00662B89">
        <w:tc>
          <w:tcPr>
            <w:tcW w:w="851" w:type="dxa"/>
            <w:tcBorders>
              <w:top w:val="nil"/>
              <w:bottom w:val="nil"/>
            </w:tcBorders>
          </w:tcPr>
          <w:p w14:paraId="777B80EA" w14:textId="6D232EB1" w:rsidR="008F783F" w:rsidRPr="00F31D31" w:rsidRDefault="00236DD5" w:rsidP="000641D0">
            <w:pPr>
              <w:spacing w:before="120" w:after="120"/>
              <w:jc w:val="center"/>
              <w:rPr>
                <w:sz w:val="20"/>
                <w:szCs w:val="20"/>
              </w:rPr>
            </w:pPr>
            <w:r>
              <w:rPr>
                <w:sz w:val="20"/>
                <w:szCs w:val="20"/>
              </w:rPr>
              <w:t>4.9</w:t>
            </w:r>
          </w:p>
        </w:tc>
        <w:tc>
          <w:tcPr>
            <w:tcW w:w="9922" w:type="dxa"/>
            <w:tcBorders>
              <w:top w:val="nil"/>
              <w:bottom w:val="nil"/>
            </w:tcBorders>
          </w:tcPr>
          <w:p w14:paraId="66699296" w14:textId="77777777" w:rsidR="008F783F" w:rsidRPr="002C089B" w:rsidRDefault="008F783F" w:rsidP="000641D0">
            <w:pPr>
              <w:spacing w:before="120" w:after="120"/>
              <w:jc w:val="both"/>
              <w:rPr>
                <w:rFonts w:cs="Arial"/>
                <w:sz w:val="20"/>
                <w:szCs w:val="20"/>
              </w:rPr>
            </w:pPr>
            <w:r w:rsidRPr="002C089B">
              <w:rPr>
                <w:rFonts w:cs="Arial"/>
                <w:sz w:val="20"/>
                <w:szCs w:val="20"/>
              </w:rPr>
              <w:t>Six separate contracts were entered into with the chosen supplier, Total Gas &amp; Power Ltd, each of which was signed by the Facilities Manager on the Council’s behalf. The contract covered the following:</w:t>
            </w:r>
          </w:p>
          <w:p w14:paraId="7B298358" w14:textId="77777777" w:rsidR="008F783F" w:rsidRPr="002C089B" w:rsidRDefault="008F783F" w:rsidP="004A16B4">
            <w:pPr>
              <w:pStyle w:val="ListParagraph"/>
              <w:numPr>
                <w:ilvl w:val="0"/>
                <w:numId w:val="4"/>
              </w:numPr>
              <w:spacing w:before="120" w:after="120"/>
              <w:ind w:left="493" w:hanging="426"/>
              <w:jc w:val="both"/>
              <w:rPr>
                <w:rFonts w:cs="Arial"/>
                <w:sz w:val="20"/>
                <w:szCs w:val="20"/>
              </w:rPr>
            </w:pPr>
            <w:r w:rsidRPr="002C089B">
              <w:rPr>
                <w:rFonts w:cs="Arial"/>
                <w:sz w:val="20"/>
                <w:szCs w:val="20"/>
              </w:rPr>
              <w:t>Gas – signed 31/10/19, relating to one site.</w:t>
            </w:r>
          </w:p>
          <w:p w14:paraId="02A0B4AB" w14:textId="77777777" w:rsidR="008F783F" w:rsidRPr="002C089B" w:rsidRDefault="008F783F" w:rsidP="004A16B4">
            <w:pPr>
              <w:pStyle w:val="ListParagraph"/>
              <w:numPr>
                <w:ilvl w:val="0"/>
                <w:numId w:val="4"/>
              </w:numPr>
              <w:spacing w:before="120" w:after="120"/>
              <w:ind w:left="493" w:hanging="426"/>
              <w:jc w:val="both"/>
              <w:rPr>
                <w:rFonts w:cs="Arial"/>
                <w:sz w:val="20"/>
                <w:szCs w:val="20"/>
              </w:rPr>
            </w:pPr>
            <w:r w:rsidRPr="002C089B">
              <w:rPr>
                <w:rFonts w:cs="Arial"/>
                <w:sz w:val="20"/>
                <w:szCs w:val="20"/>
              </w:rPr>
              <w:t>Gas – signed 20/8/19, relating to five sites.</w:t>
            </w:r>
          </w:p>
          <w:p w14:paraId="6A3FB499" w14:textId="77777777" w:rsidR="008F783F" w:rsidRPr="002C089B" w:rsidRDefault="008F783F" w:rsidP="000641D0">
            <w:pPr>
              <w:spacing w:before="120" w:after="120"/>
              <w:jc w:val="both"/>
              <w:rPr>
                <w:rFonts w:cs="Arial"/>
                <w:sz w:val="20"/>
                <w:szCs w:val="20"/>
              </w:rPr>
            </w:pPr>
            <w:r w:rsidRPr="002C089B">
              <w:rPr>
                <w:rFonts w:cs="Arial"/>
                <w:sz w:val="20"/>
                <w:szCs w:val="20"/>
              </w:rPr>
              <w:t>Both contracts were for four years starting 1/10/19. Whilst neither included monetary figures, having discussed this with the supplier, Legal were informed that the estimated value for the two contracts combined was £144k over the four years.</w:t>
            </w:r>
          </w:p>
          <w:p w14:paraId="29003F6E" w14:textId="77777777" w:rsidR="008F783F" w:rsidRPr="002C089B" w:rsidRDefault="008F783F" w:rsidP="004A16B4">
            <w:pPr>
              <w:pStyle w:val="ListParagraph"/>
              <w:numPr>
                <w:ilvl w:val="0"/>
                <w:numId w:val="4"/>
              </w:numPr>
              <w:spacing w:before="120" w:after="120"/>
              <w:ind w:left="493" w:hanging="426"/>
              <w:jc w:val="both"/>
              <w:rPr>
                <w:rFonts w:cs="Arial"/>
                <w:sz w:val="20"/>
                <w:szCs w:val="20"/>
              </w:rPr>
            </w:pPr>
            <w:r w:rsidRPr="002C089B">
              <w:rPr>
                <w:rFonts w:cs="Arial"/>
                <w:sz w:val="20"/>
                <w:szCs w:val="20"/>
              </w:rPr>
              <w:t xml:space="preserve">Elec – signed 20/8/19, for two years starting 1/10/19, related to one site with an estimated value of £17,763.14. </w:t>
            </w:r>
          </w:p>
          <w:p w14:paraId="098E3462" w14:textId="77777777" w:rsidR="008F783F" w:rsidRPr="002C089B" w:rsidRDefault="008F783F" w:rsidP="004A16B4">
            <w:pPr>
              <w:pStyle w:val="ListParagraph"/>
              <w:numPr>
                <w:ilvl w:val="0"/>
                <w:numId w:val="4"/>
              </w:numPr>
              <w:spacing w:before="120" w:after="120"/>
              <w:ind w:left="493" w:hanging="426"/>
              <w:jc w:val="both"/>
              <w:rPr>
                <w:rFonts w:cs="Arial"/>
                <w:sz w:val="20"/>
                <w:szCs w:val="20"/>
              </w:rPr>
            </w:pPr>
            <w:r w:rsidRPr="002C089B">
              <w:rPr>
                <w:rFonts w:cs="Arial"/>
                <w:sz w:val="20"/>
                <w:szCs w:val="20"/>
              </w:rPr>
              <w:t>Elec – signed 20/8/19, for two years starting 1/10/19, related to three sites with an estimated value of £136,133.18.</w:t>
            </w:r>
          </w:p>
          <w:p w14:paraId="2F7C49C7" w14:textId="77777777" w:rsidR="008F783F" w:rsidRPr="002C089B" w:rsidRDefault="008F783F" w:rsidP="004A16B4">
            <w:pPr>
              <w:pStyle w:val="ListParagraph"/>
              <w:numPr>
                <w:ilvl w:val="0"/>
                <w:numId w:val="4"/>
              </w:numPr>
              <w:spacing w:before="120" w:after="120"/>
              <w:ind w:left="493" w:hanging="426"/>
              <w:jc w:val="both"/>
              <w:rPr>
                <w:rFonts w:cs="Arial"/>
                <w:sz w:val="20"/>
                <w:szCs w:val="20"/>
              </w:rPr>
            </w:pPr>
            <w:r w:rsidRPr="002C089B">
              <w:rPr>
                <w:rFonts w:cs="Arial"/>
                <w:sz w:val="20"/>
                <w:szCs w:val="20"/>
              </w:rPr>
              <w:t>Elec – signed 31/10/19, for two years starting 1/10/21, related to the same three sites as in iv) above, with an estimated value of £139,868.76.</w:t>
            </w:r>
          </w:p>
          <w:p w14:paraId="0D8519D0" w14:textId="77777777" w:rsidR="004A16B4" w:rsidRDefault="008F783F" w:rsidP="00662B89">
            <w:pPr>
              <w:pStyle w:val="ListParagraph"/>
              <w:numPr>
                <w:ilvl w:val="0"/>
                <w:numId w:val="4"/>
              </w:numPr>
              <w:spacing w:before="120" w:after="120"/>
              <w:ind w:left="493" w:hanging="426"/>
              <w:jc w:val="both"/>
              <w:rPr>
                <w:rFonts w:cs="Arial"/>
                <w:sz w:val="20"/>
                <w:szCs w:val="20"/>
              </w:rPr>
            </w:pPr>
            <w:r w:rsidRPr="00662B89">
              <w:rPr>
                <w:rFonts w:cs="Arial"/>
                <w:sz w:val="20"/>
                <w:szCs w:val="20"/>
              </w:rPr>
              <w:t>Elec – signed 20/8/19, for four years starting 1/10/19, related to 22 sites with an estimated value of £87,556.30.</w:t>
            </w:r>
          </w:p>
          <w:p w14:paraId="580D7C74" w14:textId="3157B9F1" w:rsidR="00662B89" w:rsidRPr="00662B89" w:rsidRDefault="00662B89" w:rsidP="00662B89">
            <w:pPr>
              <w:spacing w:before="120" w:after="120"/>
              <w:jc w:val="both"/>
              <w:rPr>
                <w:rFonts w:cs="Arial"/>
                <w:sz w:val="20"/>
                <w:szCs w:val="20"/>
              </w:rPr>
            </w:pPr>
          </w:p>
        </w:tc>
      </w:tr>
      <w:tr w:rsidR="008F783F" w:rsidRPr="006A0EC0" w14:paraId="723DF69D" w14:textId="77777777" w:rsidTr="00662B89">
        <w:tc>
          <w:tcPr>
            <w:tcW w:w="851" w:type="dxa"/>
            <w:tcBorders>
              <w:top w:val="nil"/>
              <w:bottom w:val="single" w:sz="4" w:space="0" w:color="auto"/>
            </w:tcBorders>
          </w:tcPr>
          <w:p w14:paraId="3B36A307" w14:textId="79C31C6E" w:rsidR="008F783F" w:rsidRPr="00F31D31" w:rsidRDefault="00236DD5" w:rsidP="000641D0">
            <w:pPr>
              <w:spacing w:before="120" w:after="120"/>
              <w:jc w:val="center"/>
              <w:rPr>
                <w:sz w:val="20"/>
                <w:szCs w:val="20"/>
              </w:rPr>
            </w:pPr>
            <w:r>
              <w:rPr>
                <w:sz w:val="20"/>
                <w:szCs w:val="20"/>
              </w:rPr>
              <w:t>4.10</w:t>
            </w:r>
          </w:p>
        </w:tc>
        <w:tc>
          <w:tcPr>
            <w:tcW w:w="9922" w:type="dxa"/>
            <w:tcBorders>
              <w:top w:val="nil"/>
              <w:bottom w:val="single" w:sz="4" w:space="0" w:color="auto"/>
            </w:tcBorders>
          </w:tcPr>
          <w:p w14:paraId="35BF77DB" w14:textId="77777777" w:rsidR="004A16B4" w:rsidRDefault="008F783F" w:rsidP="004A16B4">
            <w:pPr>
              <w:spacing w:before="120" w:after="120"/>
              <w:jc w:val="both"/>
              <w:rPr>
                <w:rFonts w:cs="Arial"/>
                <w:sz w:val="20"/>
                <w:szCs w:val="20"/>
              </w:rPr>
            </w:pPr>
            <w:r w:rsidRPr="002C089B">
              <w:rPr>
                <w:rFonts w:cs="Arial"/>
                <w:sz w:val="20"/>
                <w:szCs w:val="20"/>
              </w:rPr>
              <w:t>In November 2019 the Shared Procurement Team were asked to approve a new creditor, Total Gas &amp; Power Ltd, and subsequently questioned the route by which the new supplier was procured. From subsequent investigations / enquiries, including those by Procurement and Legal, concerns were raised in respect of the extent to which the Council’s Contract Procurement Rules had been adhered to and whether best value had been secured in the selection of the new supplier</w:t>
            </w:r>
            <w:r w:rsidR="00236DD5">
              <w:rPr>
                <w:rFonts w:cs="Arial"/>
                <w:sz w:val="20"/>
                <w:szCs w:val="20"/>
              </w:rPr>
              <w:t>.</w:t>
            </w:r>
          </w:p>
          <w:p w14:paraId="3A1928C6" w14:textId="653BA0D0" w:rsidR="00662B89" w:rsidRPr="002C089B" w:rsidRDefault="00662B89" w:rsidP="004A16B4">
            <w:pPr>
              <w:spacing w:before="120" w:after="120"/>
              <w:jc w:val="both"/>
              <w:rPr>
                <w:rFonts w:cs="Arial"/>
                <w:sz w:val="20"/>
                <w:szCs w:val="20"/>
              </w:rPr>
            </w:pPr>
          </w:p>
        </w:tc>
      </w:tr>
      <w:tr w:rsidR="008F783F" w:rsidRPr="006A0EC0" w14:paraId="4AA7F2F9" w14:textId="77777777" w:rsidTr="00662B89">
        <w:tc>
          <w:tcPr>
            <w:tcW w:w="851" w:type="dxa"/>
            <w:tcBorders>
              <w:top w:val="single" w:sz="4" w:space="0" w:color="auto"/>
              <w:bottom w:val="nil"/>
            </w:tcBorders>
          </w:tcPr>
          <w:p w14:paraId="43E94C78" w14:textId="4D26A9F6" w:rsidR="008F783F" w:rsidRPr="00F31D31" w:rsidRDefault="00236DD5" w:rsidP="000641D0">
            <w:pPr>
              <w:spacing w:before="120" w:after="120"/>
              <w:jc w:val="center"/>
              <w:rPr>
                <w:sz w:val="20"/>
                <w:szCs w:val="20"/>
              </w:rPr>
            </w:pPr>
            <w:r>
              <w:rPr>
                <w:sz w:val="20"/>
                <w:szCs w:val="20"/>
              </w:rPr>
              <w:t>4.11</w:t>
            </w:r>
          </w:p>
        </w:tc>
        <w:tc>
          <w:tcPr>
            <w:tcW w:w="9922" w:type="dxa"/>
            <w:tcBorders>
              <w:top w:val="single" w:sz="4" w:space="0" w:color="auto"/>
              <w:bottom w:val="nil"/>
            </w:tcBorders>
          </w:tcPr>
          <w:p w14:paraId="68276704" w14:textId="3B24BEF2" w:rsidR="008F783F" w:rsidRPr="002C089B" w:rsidRDefault="008F783F" w:rsidP="00236DD5">
            <w:pPr>
              <w:spacing w:before="120" w:after="120"/>
              <w:jc w:val="both"/>
              <w:rPr>
                <w:rFonts w:cs="Arial"/>
                <w:sz w:val="20"/>
                <w:szCs w:val="20"/>
              </w:rPr>
            </w:pPr>
            <w:r w:rsidRPr="002C089B">
              <w:rPr>
                <w:rFonts w:cs="Arial"/>
                <w:sz w:val="20"/>
                <w:szCs w:val="20"/>
              </w:rPr>
              <w:t xml:space="preserve">Legal Services were subsequently asked to investigate the circumstances surrounding the re-letting of the gas / electricity contract, with one of the objectives being to determine its legality and whether the Council had grounds to step away from the contract. When assessing whether the Council could end the contract without any repercussions, Legal concluded that </w:t>
            </w:r>
            <w:r w:rsidRPr="002C089B">
              <w:rPr>
                <w:rFonts w:cs="Arial"/>
                <w:i/>
                <w:sz w:val="20"/>
                <w:szCs w:val="20"/>
              </w:rPr>
              <w:t xml:space="preserve">‘my view is that Total Gas &amp; Power’s position will be that Matt had authority to enter into the Contracts.  The additional point which assists them on this is the fact that we have used an intermediary in respect of these contracts.’ </w:t>
            </w:r>
            <w:r w:rsidRPr="002C089B">
              <w:rPr>
                <w:rFonts w:cs="Arial"/>
                <w:sz w:val="20"/>
                <w:szCs w:val="20"/>
              </w:rPr>
              <w:t>Furthermore, when considering whether the Council could consider the 14-day cooling off period, Legal concluded that this was not possible due to the time that had already e</w:t>
            </w:r>
            <w:r>
              <w:rPr>
                <w:rFonts w:cs="Arial"/>
                <w:sz w:val="20"/>
                <w:szCs w:val="20"/>
              </w:rPr>
              <w:t>lapsed</w:t>
            </w:r>
            <w:r w:rsidRPr="002C089B">
              <w:rPr>
                <w:rFonts w:cs="Arial"/>
                <w:sz w:val="20"/>
                <w:szCs w:val="20"/>
              </w:rPr>
              <w:t>.</w:t>
            </w:r>
          </w:p>
        </w:tc>
      </w:tr>
      <w:tr w:rsidR="008F783F" w:rsidRPr="006A0EC0" w14:paraId="0775C51C" w14:textId="77777777" w:rsidTr="004A16B4">
        <w:tc>
          <w:tcPr>
            <w:tcW w:w="851" w:type="dxa"/>
            <w:tcBorders>
              <w:top w:val="nil"/>
              <w:bottom w:val="nil"/>
            </w:tcBorders>
          </w:tcPr>
          <w:p w14:paraId="0C6A739F" w14:textId="5F5321E6" w:rsidR="008F783F" w:rsidRPr="00F31D31" w:rsidRDefault="00236DD5" w:rsidP="000641D0">
            <w:pPr>
              <w:spacing w:before="120" w:after="120"/>
              <w:jc w:val="center"/>
              <w:rPr>
                <w:sz w:val="20"/>
                <w:szCs w:val="20"/>
              </w:rPr>
            </w:pPr>
            <w:r>
              <w:rPr>
                <w:sz w:val="20"/>
                <w:szCs w:val="20"/>
              </w:rPr>
              <w:t>4.12</w:t>
            </w:r>
          </w:p>
        </w:tc>
        <w:tc>
          <w:tcPr>
            <w:tcW w:w="9922" w:type="dxa"/>
            <w:tcBorders>
              <w:top w:val="nil"/>
              <w:bottom w:val="nil"/>
            </w:tcBorders>
          </w:tcPr>
          <w:p w14:paraId="6AE25222" w14:textId="0BBE0CAE" w:rsidR="008F783F" w:rsidRPr="002C089B" w:rsidRDefault="008F783F" w:rsidP="00236DD5">
            <w:pPr>
              <w:spacing w:before="120" w:after="120"/>
              <w:jc w:val="both"/>
              <w:rPr>
                <w:rFonts w:cs="Arial"/>
                <w:sz w:val="20"/>
                <w:szCs w:val="20"/>
              </w:rPr>
            </w:pPr>
            <w:r w:rsidRPr="002C089B">
              <w:rPr>
                <w:rFonts w:cs="Arial"/>
                <w:sz w:val="20"/>
                <w:szCs w:val="20"/>
              </w:rPr>
              <w:t>Unlike the previous contract for the provision of gas and electricity, the Council did not utilise a Framework Agreement from which local authorities, including SRBC, could select a supplier. This is demonstrated by the Tender Opportunity Notice that clearly sets out that Resolve were acting on behalf of SRBC alone.</w:t>
            </w:r>
          </w:p>
        </w:tc>
      </w:tr>
      <w:tr w:rsidR="008F783F" w:rsidRPr="006A0EC0" w14:paraId="083D9E92" w14:textId="77777777" w:rsidTr="00236DD5">
        <w:tc>
          <w:tcPr>
            <w:tcW w:w="851" w:type="dxa"/>
            <w:tcBorders>
              <w:top w:val="nil"/>
              <w:bottom w:val="nil"/>
            </w:tcBorders>
          </w:tcPr>
          <w:p w14:paraId="2E7F9168" w14:textId="1348651A" w:rsidR="008F783F" w:rsidRPr="00F31D31" w:rsidRDefault="00236DD5" w:rsidP="000641D0">
            <w:pPr>
              <w:spacing w:before="120" w:after="120"/>
              <w:jc w:val="center"/>
              <w:rPr>
                <w:sz w:val="20"/>
                <w:szCs w:val="20"/>
              </w:rPr>
            </w:pPr>
            <w:r>
              <w:rPr>
                <w:sz w:val="20"/>
                <w:szCs w:val="20"/>
              </w:rPr>
              <w:t>4.13</w:t>
            </w:r>
          </w:p>
        </w:tc>
        <w:tc>
          <w:tcPr>
            <w:tcW w:w="9922" w:type="dxa"/>
            <w:tcBorders>
              <w:top w:val="nil"/>
              <w:bottom w:val="nil"/>
            </w:tcBorders>
          </w:tcPr>
          <w:p w14:paraId="50813F07" w14:textId="33CBB616" w:rsidR="008F783F" w:rsidRPr="002C089B" w:rsidRDefault="00236DD5" w:rsidP="000641D0">
            <w:pPr>
              <w:spacing w:before="120" w:after="120"/>
              <w:jc w:val="both"/>
              <w:rPr>
                <w:rFonts w:cs="Arial"/>
                <w:sz w:val="20"/>
                <w:szCs w:val="20"/>
              </w:rPr>
            </w:pPr>
            <w:r>
              <w:rPr>
                <w:rFonts w:cs="Arial"/>
                <w:sz w:val="20"/>
                <w:szCs w:val="20"/>
              </w:rPr>
              <w:t>T</w:t>
            </w:r>
            <w:r w:rsidR="008F783F" w:rsidRPr="002C089B">
              <w:rPr>
                <w:rFonts w:cs="Arial"/>
                <w:sz w:val="20"/>
                <w:szCs w:val="20"/>
              </w:rPr>
              <w:t>he tender was posted on Contract Finder only and, as per the Council’s CPR’s and EU Procurement Rules, it should have been advertised on the Chest and an OJEU notice posted.</w:t>
            </w:r>
          </w:p>
          <w:p w14:paraId="6EFA0278" w14:textId="095BE0C3" w:rsidR="008F783F" w:rsidRPr="002C089B" w:rsidRDefault="008F783F" w:rsidP="000641D0">
            <w:pPr>
              <w:spacing w:before="120" w:after="120"/>
              <w:jc w:val="both"/>
              <w:rPr>
                <w:rFonts w:cs="Arial"/>
                <w:sz w:val="20"/>
                <w:szCs w:val="20"/>
              </w:rPr>
            </w:pPr>
            <w:r w:rsidRPr="002C089B">
              <w:rPr>
                <w:rFonts w:cs="Arial"/>
                <w:sz w:val="20"/>
                <w:szCs w:val="20"/>
              </w:rPr>
              <w:t>The audit could not establish whether 12 months’ notice had been given to terminate the previous contract</w:t>
            </w:r>
          </w:p>
        </w:tc>
      </w:tr>
      <w:tr w:rsidR="008F783F" w:rsidRPr="006A0EC0" w14:paraId="3164A4A7" w14:textId="77777777" w:rsidTr="00236DD5">
        <w:tc>
          <w:tcPr>
            <w:tcW w:w="851" w:type="dxa"/>
            <w:tcBorders>
              <w:top w:val="nil"/>
              <w:bottom w:val="nil"/>
            </w:tcBorders>
          </w:tcPr>
          <w:p w14:paraId="3EF5588C" w14:textId="5B5B432D" w:rsidR="008F783F" w:rsidRPr="00F31D31" w:rsidRDefault="00236DD5" w:rsidP="000641D0">
            <w:pPr>
              <w:spacing w:before="120" w:after="120"/>
              <w:jc w:val="center"/>
              <w:rPr>
                <w:sz w:val="20"/>
                <w:szCs w:val="20"/>
              </w:rPr>
            </w:pPr>
            <w:r>
              <w:rPr>
                <w:sz w:val="20"/>
                <w:szCs w:val="20"/>
              </w:rPr>
              <w:t>4.14</w:t>
            </w:r>
          </w:p>
        </w:tc>
        <w:tc>
          <w:tcPr>
            <w:tcW w:w="9922" w:type="dxa"/>
            <w:tcBorders>
              <w:top w:val="nil"/>
              <w:bottom w:val="nil"/>
            </w:tcBorders>
          </w:tcPr>
          <w:p w14:paraId="6552B7DE" w14:textId="78359EEB" w:rsidR="008F783F" w:rsidRPr="002C089B" w:rsidRDefault="008F783F" w:rsidP="00236DD5">
            <w:pPr>
              <w:spacing w:before="120" w:after="120"/>
              <w:jc w:val="both"/>
              <w:rPr>
                <w:rFonts w:cs="Arial"/>
                <w:sz w:val="20"/>
                <w:szCs w:val="20"/>
              </w:rPr>
            </w:pPr>
            <w:r w:rsidRPr="002C089B">
              <w:rPr>
                <w:rFonts w:cs="Arial"/>
                <w:sz w:val="20"/>
                <w:szCs w:val="20"/>
              </w:rPr>
              <w:t>The Tender Opportunity Notice issued by Resolve Energy made it clear that ‘</w:t>
            </w:r>
            <w:r w:rsidRPr="002C089B">
              <w:rPr>
                <w:rFonts w:cs="Arial"/>
                <w:i/>
                <w:sz w:val="20"/>
                <w:szCs w:val="20"/>
              </w:rPr>
              <w:t>the contracting authority are looking to select one single supplier….</w:t>
            </w:r>
            <w:r w:rsidRPr="00236DD5">
              <w:rPr>
                <w:rFonts w:cs="Arial"/>
                <w:sz w:val="20"/>
                <w:szCs w:val="20"/>
              </w:rPr>
              <w:t>’</w:t>
            </w:r>
            <w:r w:rsidR="00236DD5">
              <w:rPr>
                <w:rFonts w:cs="Arial"/>
                <w:sz w:val="20"/>
                <w:szCs w:val="20"/>
              </w:rPr>
              <w:t xml:space="preserve">.  </w:t>
            </w:r>
            <w:r w:rsidRPr="00236DD5">
              <w:rPr>
                <w:rFonts w:cs="Arial"/>
                <w:sz w:val="20"/>
                <w:szCs w:val="20"/>
              </w:rPr>
              <w:t>As</w:t>
            </w:r>
            <w:r w:rsidRPr="002C089B">
              <w:rPr>
                <w:rFonts w:cs="Arial"/>
                <w:sz w:val="20"/>
                <w:szCs w:val="20"/>
              </w:rPr>
              <w:t xml:space="preserve"> a consequence, even if there was a valid reason for splitting the service up into six contracts (neither Audit, Legal or Procurement could establish the reason for this), the total value of the six contracts should have been the figure to apply when determining the correct procurement route. As per ‘The Public Contract Regulations 2015, </w:t>
            </w:r>
            <w:r w:rsidRPr="002C089B">
              <w:rPr>
                <w:rFonts w:cs="Arial"/>
                <w:i/>
                <w:sz w:val="20"/>
                <w:szCs w:val="20"/>
              </w:rPr>
              <w:t>‘</w:t>
            </w:r>
            <w:r w:rsidRPr="002C089B">
              <w:rPr>
                <w:rFonts w:cs="Arial"/>
                <w:i/>
                <w:sz w:val="20"/>
                <w:szCs w:val="20"/>
                <w:lang w:val="en"/>
              </w:rPr>
              <w:t>The calculation of the estimated value of a procurement shall be based on the total amount payable, net of VAT, as estimated by the contracting authority, including any form of option and any renewals of the contracts as explicitly set out in the procurement documents.</w:t>
            </w:r>
          </w:p>
        </w:tc>
      </w:tr>
      <w:tr w:rsidR="000641D0" w:rsidRPr="006A0EC0" w14:paraId="47D4AC72" w14:textId="77777777" w:rsidTr="00236DD5">
        <w:tc>
          <w:tcPr>
            <w:tcW w:w="851" w:type="dxa"/>
            <w:tcBorders>
              <w:top w:val="nil"/>
              <w:bottom w:val="nil"/>
            </w:tcBorders>
          </w:tcPr>
          <w:p w14:paraId="2660DABA" w14:textId="572D000B" w:rsidR="000641D0" w:rsidRPr="00F31D31" w:rsidRDefault="00236DD5" w:rsidP="000641D0">
            <w:pPr>
              <w:spacing w:before="120" w:after="120"/>
              <w:jc w:val="center"/>
              <w:rPr>
                <w:sz w:val="20"/>
                <w:szCs w:val="20"/>
              </w:rPr>
            </w:pPr>
            <w:r>
              <w:rPr>
                <w:sz w:val="20"/>
                <w:szCs w:val="20"/>
              </w:rPr>
              <w:t>4.15</w:t>
            </w:r>
          </w:p>
        </w:tc>
        <w:tc>
          <w:tcPr>
            <w:tcW w:w="9922" w:type="dxa"/>
            <w:tcBorders>
              <w:top w:val="nil"/>
              <w:bottom w:val="nil"/>
            </w:tcBorders>
          </w:tcPr>
          <w:p w14:paraId="6CB3C68B" w14:textId="3163F1FA" w:rsidR="000641D0" w:rsidRPr="002C089B" w:rsidRDefault="000641D0" w:rsidP="00236DD5">
            <w:pPr>
              <w:spacing w:before="120" w:after="120"/>
              <w:jc w:val="both"/>
              <w:rPr>
                <w:rFonts w:cs="Arial"/>
                <w:sz w:val="20"/>
                <w:szCs w:val="20"/>
              </w:rPr>
            </w:pPr>
            <w:r w:rsidRPr="002C089B">
              <w:rPr>
                <w:rFonts w:cs="Arial"/>
                <w:sz w:val="20"/>
                <w:szCs w:val="20"/>
              </w:rPr>
              <w:t>It should have been evident to Resolve (particularly in light of their contact’s previous experience with UPG) that the estimated value of the contract was significantly higher than the EU threshold of £189,330. As the estimated contract values indicate the contract was in excess of £500k, this opportunity should have led them down the ‘high value, over EU threshold’ route and an OJEU notice posted. Furthermore, the decision to re-let the contract was not included in the Forward Plan as a Key Decision and nor was Cabinet approval subsequently secured prior to awarding the contract.</w:t>
            </w:r>
          </w:p>
        </w:tc>
      </w:tr>
      <w:tr w:rsidR="000641D0" w:rsidRPr="006A0EC0" w14:paraId="7859EED6" w14:textId="77777777" w:rsidTr="00236DD5">
        <w:tc>
          <w:tcPr>
            <w:tcW w:w="851" w:type="dxa"/>
            <w:tcBorders>
              <w:top w:val="nil"/>
              <w:bottom w:val="nil"/>
            </w:tcBorders>
          </w:tcPr>
          <w:p w14:paraId="619B1394" w14:textId="74679902" w:rsidR="000641D0" w:rsidRPr="00F31D31" w:rsidRDefault="00236DD5" w:rsidP="000641D0">
            <w:pPr>
              <w:spacing w:before="120" w:after="120"/>
              <w:jc w:val="center"/>
              <w:rPr>
                <w:sz w:val="20"/>
                <w:szCs w:val="20"/>
              </w:rPr>
            </w:pPr>
            <w:r>
              <w:rPr>
                <w:sz w:val="20"/>
                <w:szCs w:val="20"/>
              </w:rPr>
              <w:t>4.16</w:t>
            </w:r>
          </w:p>
        </w:tc>
        <w:tc>
          <w:tcPr>
            <w:tcW w:w="9922" w:type="dxa"/>
            <w:tcBorders>
              <w:top w:val="nil"/>
              <w:bottom w:val="nil"/>
            </w:tcBorders>
          </w:tcPr>
          <w:p w14:paraId="154AF9B2" w14:textId="2D3C0BA6" w:rsidR="000641D0" w:rsidRPr="002C089B" w:rsidRDefault="000641D0" w:rsidP="000641D0">
            <w:pPr>
              <w:spacing w:before="120" w:after="120"/>
              <w:jc w:val="both"/>
              <w:rPr>
                <w:rFonts w:cs="Arial"/>
                <w:sz w:val="20"/>
                <w:szCs w:val="20"/>
              </w:rPr>
            </w:pPr>
            <w:r w:rsidRPr="002C089B">
              <w:rPr>
                <w:rFonts w:cs="Arial"/>
                <w:sz w:val="20"/>
                <w:szCs w:val="20"/>
              </w:rPr>
              <w:t xml:space="preserve">Despite posting the tender on Contracts Finder, together with the subsequent award notice, in both cases they referred to the ‘Value of contract’ as being £10k. From discussion with Procurement, this was considered as inappropriate and that the estimated contract value was over £500k </w:t>
            </w:r>
            <w:r>
              <w:rPr>
                <w:rFonts w:cs="Arial"/>
                <w:sz w:val="20"/>
                <w:szCs w:val="20"/>
              </w:rPr>
              <w:t xml:space="preserve">and </w:t>
            </w:r>
            <w:r w:rsidRPr="002C089B">
              <w:rPr>
                <w:rFonts w:cs="Arial"/>
                <w:sz w:val="20"/>
                <w:szCs w:val="20"/>
              </w:rPr>
              <w:t>should have been recorded. Furthermore, by recorded the contract value as £10k, this most likely deterred many larger suppliers bidding for the work. Subsequent communications between the Director – Projects &amp; Development and Resolve established that only the one bid was received</w:t>
            </w:r>
          </w:p>
        </w:tc>
      </w:tr>
      <w:tr w:rsidR="000641D0" w:rsidRPr="006A0EC0" w14:paraId="39686376" w14:textId="77777777" w:rsidTr="00236DD5">
        <w:tc>
          <w:tcPr>
            <w:tcW w:w="851" w:type="dxa"/>
            <w:tcBorders>
              <w:top w:val="nil"/>
              <w:bottom w:val="nil"/>
            </w:tcBorders>
          </w:tcPr>
          <w:p w14:paraId="03E02618" w14:textId="4565DAF6" w:rsidR="000641D0" w:rsidRPr="00F31D31" w:rsidRDefault="00236DD5" w:rsidP="000641D0">
            <w:pPr>
              <w:spacing w:before="120" w:after="120"/>
              <w:jc w:val="center"/>
              <w:rPr>
                <w:sz w:val="20"/>
                <w:szCs w:val="20"/>
              </w:rPr>
            </w:pPr>
            <w:r>
              <w:rPr>
                <w:sz w:val="20"/>
                <w:szCs w:val="20"/>
              </w:rPr>
              <w:t>4.17</w:t>
            </w:r>
          </w:p>
        </w:tc>
        <w:tc>
          <w:tcPr>
            <w:tcW w:w="9922" w:type="dxa"/>
            <w:tcBorders>
              <w:top w:val="nil"/>
              <w:bottom w:val="nil"/>
            </w:tcBorders>
          </w:tcPr>
          <w:p w14:paraId="492206B7" w14:textId="6246D591" w:rsidR="000641D0" w:rsidRPr="002C089B" w:rsidRDefault="000641D0" w:rsidP="00236DD5">
            <w:pPr>
              <w:spacing w:before="120" w:after="120"/>
              <w:jc w:val="both"/>
              <w:rPr>
                <w:rFonts w:cs="Arial"/>
                <w:sz w:val="20"/>
                <w:szCs w:val="20"/>
              </w:rPr>
            </w:pPr>
            <w:r w:rsidRPr="002C089B">
              <w:rPr>
                <w:rFonts w:cs="Arial"/>
                <w:sz w:val="20"/>
                <w:szCs w:val="20"/>
              </w:rPr>
              <w:t>Furthermore, whilst posting the tender on Contracts Finder, Resolve only gave 6 working days (2</w:t>
            </w:r>
            <w:r w:rsidRPr="002C089B">
              <w:rPr>
                <w:rFonts w:cs="Arial"/>
                <w:sz w:val="20"/>
                <w:szCs w:val="20"/>
                <w:vertAlign w:val="superscript"/>
              </w:rPr>
              <w:t>nd</w:t>
            </w:r>
            <w:r w:rsidRPr="002C089B">
              <w:rPr>
                <w:rFonts w:cs="Arial"/>
                <w:sz w:val="20"/>
                <w:szCs w:val="20"/>
              </w:rPr>
              <w:t xml:space="preserve"> Aug – 8</w:t>
            </w:r>
            <w:r w:rsidRPr="002C089B">
              <w:rPr>
                <w:rFonts w:cs="Arial"/>
                <w:sz w:val="20"/>
                <w:szCs w:val="20"/>
                <w:vertAlign w:val="superscript"/>
              </w:rPr>
              <w:t>th</w:t>
            </w:r>
            <w:r w:rsidRPr="002C089B">
              <w:rPr>
                <w:rFonts w:cs="Arial"/>
                <w:sz w:val="20"/>
                <w:szCs w:val="20"/>
              </w:rPr>
              <w:t xml:space="preserve"> Aug 2019) to respond and, additionally, specifically stated that they would not accept tenders via email. Similarly, this was felt to be inappropriate and most likely deterred some suppliers from bidding. From discussions with Procurement, this was contrary to EU guidelines (assuming it should have gone via OJEU) which required 30 days’ notice.</w:t>
            </w:r>
          </w:p>
        </w:tc>
      </w:tr>
      <w:tr w:rsidR="000641D0" w:rsidRPr="006A0EC0" w14:paraId="22B4F8A8" w14:textId="77777777" w:rsidTr="00236DD5">
        <w:tc>
          <w:tcPr>
            <w:tcW w:w="851" w:type="dxa"/>
            <w:tcBorders>
              <w:top w:val="nil"/>
              <w:bottom w:val="nil"/>
            </w:tcBorders>
          </w:tcPr>
          <w:p w14:paraId="586ACE0E" w14:textId="6F8DE54F" w:rsidR="000641D0" w:rsidRPr="00F31D31" w:rsidRDefault="00236DD5" w:rsidP="000641D0">
            <w:pPr>
              <w:spacing w:before="120" w:after="120"/>
              <w:jc w:val="center"/>
              <w:rPr>
                <w:sz w:val="20"/>
                <w:szCs w:val="20"/>
              </w:rPr>
            </w:pPr>
            <w:r>
              <w:rPr>
                <w:sz w:val="20"/>
                <w:szCs w:val="20"/>
              </w:rPr>
              <w:t>4.18</w:t>
            </w:r>
          </w:p>
        </w:tc>
        <w:tc>
          <w:tcPr>
            <w:tcW w:w="9922" w:type="dxa"/>
            <w:tcBorders>
              <w:top w:val="nil"/>
              <w:bottom w:val="nil"/>
            </w:tcBorders>
          </w:tcPr>
          <w:p w14:paraId="146FDE6F" w14:textId="527BFC08" w:rsidR="000641D0" w:rsidRPr="002C089B" w:rsidRDefault="000641D0" w:rsidP="00236DD5">
            <w:pPr>
              <w:spacing w:before="120" w:after="120"/>
              <w:jc w:val="both"/>
              <w:rPr>
                <w:rFonts w:cs="Arial"/>
                <w:sz w:val="20"/>
                <w:szCs w:val="20"/>
              </w:rPr>
            </w:pPr>
            <w:r w:rsidRPr="002C089B">
              <w:rPr>
                <w:rFonts w:cs="Arial"/>
                <w:sz w:val="20"/>
                <w:szCs w:val="20"/>
              </w:rPr>
              <w:t>As per para 27.1 of the Council’s CPR’s, ‘</w:t>
            </w:r>
            <w:r w:rsidRPr="002C089B">
              <w:rPr>
                <w:rFonts w:cs="Arial"/>
                <w:i/>
                <w:sz w:val="20"/>
                <w:szCs w:val="20"/>
              </w:rPr>
              <w:t xml:space="preserve">any contracts valued at above £100,000 shall be passed to Legal Services for sealing execution and secure storage, unless otherwise agreed with the Legal Services Manager’. </w:t>
            </w:r>
            <w:r w:rsidRPr="002C089B">
              <w:rPr>
                <w:rFonts w:cs="Arial"/>
                <w:sz w:val="20"/>
                <w:szCs w:val="20"/>
              </w:rPr>
              <w:t>Whilst the contract value was clearly higher than £100k, each of the six contracts had been signed by the Facilities Manager on the Council’s behalf.</w:t>
            </w:r>
          </w:p>
        </w:tc>
      </w:tr>
      <w:tr w:rsidR="000641D0" w:rsidRPr="006A0EC0" w14:paraId="46F3000B" w14:textId="77777777" w:rsidTr="00662B89">
        <w:tc>
          <w:tcPr>
            <w:tcW w:w="851" w:type="dxa"/>
            <w:tcBorders>
              <w:top w:val="nil"/>
              <w:bottom w:val="nil"/>
            </w:tcBorders>
          </w:tcPr>
          <w:p w14:paraId="1FFB153A" w14:textId="31A2EEA7" w:rsidR="000641D0" w:rsidRPr="00F31D31" w:rsidRDefault="00236DD5" w:rsidP="000641D0">
            <w:pPr>
              <w:spacing w:before="120" w:after="120"/>
              <w:jc w:val="center"/>
              <w:rPr>
                <w:sz w:val="20"/>
                <w:szCs w:val="20"/>
              </w:rPr>
            </w:pPr>
            <w:r>
              <w:rPr>
                <w:sz w:val="20"/>
                <w:szCs w:val="20"/>
              </w:rPr>
              <w:t>4.19</w:t>
            </w:r>
          </w:p>
        </w:tc>
        <w:tc>
          <w:tcPr>
            <w:tcW w:w="9922" w:type="dxa"/>
            <w:tcBorders>
              <w:top w:val="nil"/>
              <w:bottom w:val="nil"/>
            </w:tcBorders>
          </w:tcPr>
          <w:p w14:paraId="6A790C90" w14:textId="77777777" w:rsidR="00236DD5" w:rsidRDefault="000641D0" w:rsidP="000641D0">
            <w:pPr>
              <w:spacing w:before="120" w:after="120"/>
              <w:jc w:val="both"/>
              <w:rPr>
                <w:rFonts w:cs="Arial"/>
                <w:sz w:val="20"/>
                <w:szCs w:val="20"/>
              </w:rPr>
            </w:pPr>
            <w:r w:rsidRPr="002C089B">
              <w:rPr>
                <w:rFonts w:cs="Arial"/>
                <w:sz w:val="20"/>
                <w:szCs w:val="20"/>
              </w:rPr>
              <w:t>Audit noted that five of the six contracts made provision for gas and electric supplies for four years starting 1/10/19, although one site was only covered for two years. Furthermore, two contracts, covering three sites, were split into two separate two year contracts, with the latter covering the period s</w:t>
            </w:r>
            <w:r w:rsidR="00236DD5">
              <w:rPr>
                <w:rFonts w:cs="Arial"/>
                <w:sz w:val="20"/>
                <w:szCs w:val="20"/>
              </w:rPr>
              <w:t xml:space="preserve">tarting 1/10/21. </w:t>
            </w:r>
          </w:p>
          <w:p w14:paraId="7E6A16A0" w14:textId="0F6A8782" w:rsidR="000641D0" w:rsidRPr="002C089B" w:rsidRDefault="00F4444E" w:rsidP="00236DD5">
            <w:pPr>
              <w:spacing w:before="120" w:after="120"/>
              <w:jc w:val="both"/>
              <w:rPr>
                <w:rFonts w:cs="Arial"/>
                <w:sz w:val="20"/>
                <w:szCs w:val="20"/>
              </w:rPr>
            </w:pPr>
            <w:r>
              <w:rPr>
                <w:rFonts w:cs="Arial"/>
                <w:sz w:val="20"/>
                <w:szCs w:val="20"/>
              </w:rPr>
              <w:t xml:space="preserve">Neither </w:t>
            </w:r>
            <w:r w:rsidR="00236DD5">
              <w:rPr>
                <w:rFonts w:cs="Arial"/>
                <w:sz w:val="20"/>
                <w:szCs w:val="20"/>
              </w:rPr>
              <w:t xml:space="preserve">Audit, </w:t>
            </w:r>
            <w:r w:rsidR="000641D0" w:rsidRPr="002C089B">
              <w:rPr>
                <w:rFonts w:cs="Arial"/>
                <w:sz w:val="20"/>
                <w:szCs w:val="20"/>
              </w:rPr>
              <w:t>Legal or Procurement could establish the rationale for either of these instances.</w:t>
            </w:r>
          </w:p>
        </w:tc>
      </w:tr>
      <w:tr w:rsidR="000641D0" w:rsidRPr="006A0EC0" w14:paraId="3EDB4F57" w14:textId="77777777" w:rsidTr="00662B89">
        <w:tc>
          <w:tcPr>
            <w:tcW w:w="851" w:type="dxa"/>
            <w:tcBorders>
              <w:top w:val="nil"/>
              <w:bottom w:val="single" w:sz="4" w:space="0" w:color="auto"/>
            </w:tcBorders>
          </w:tcPr>
          <w:p w14:paraId="6AB7E6D3" w14:textId="52AA4652" w:rsidR="000641D0" w:rsidRPr="00F31D31" w:rsidRDefault="00236DD5" w:rsidP="000641D0">
            <w:pPr>
              <w:spacing w:before="120" w:after="120"/>
              <w:jc w:val="center"/>
              <w:rPr>
                <w:sz w:val="20"/>
                <w:szCs w:val="20"/>
              </w:rPr>
            </w:pPr>
            <w:r>
              <w:rPr>
                <w:sz w:val="20"/>
                <w:szCs w:val="20"/>
              </w:rPr>
              <w:t>4.20</w:t>
            </w:r>
          </w:p>
        </w:tc>
        <w:tc>
          <w:tcPr>
            <w:tcW w:w="9922" w:type="dxa"/>
            <w:tcBorders>
              <w:top w:val="nil"/>
              <w:bottom w:val="single" w:sz="4" w:space="0" w:color="auto"/>
            </w:tcBorders>
          </w:tcPr>
          <w:p w14:paraId="0D65E86D" w14:textId="77777777" w:rsidR="00236DD5" w:rsidRDefault="00236DD5" w:rsidP="00236DD5">
            <w:pPr>
              <w:spacing w:before="120" w:after="120"/>
              <w:jc w:val="both"/>
              <w:rPr>
                <w:rFonts w:cs="Arial"/>
                <w:sz w:val="20"/>
                <w:szCs w:val="20"/>
              </w:rPr>
            </w:pPr>
            <w:r>
              <w:rPr>
                <w:rFonts w:cs="Arial"/>
                <w:sz w:val="20"/>
                <w:szCs w:val="20"/>
              </w:rPr>
              <w:t>It is clear from these findings that all Contract Procedure Rules, some Financial Procedure Rules and rules / procedures in respect of Key decisions have been disregarded and not complied with.</w:t>
            </w:r>
          </w:p>
          <w:p w14:paraId="1992453D" w14:textId="77777777" w:rsidR="00662B89" w:rsidRDefault="00662B89" w:rsidP="00236DD5">
            <w:pPr>
              <w:spacing w:before="120" w:after="120"/>
              <w:jc w:val="both"/>
              <w:rPr>
                <w:rFonts w:cs="Arial"/>
                <w:sz w:val="20"/>
                <w:szCs w:val="20"/>
              </w:rPr>
            </w:pPr>
          </w:p>
          <w:p w14:paraId="2C1F10FC" w14:textId="4FBD8520" w:rsidR="00662B89" w:rsidRPr="002C089B" w:rsidRDefault="00662B89" w:rsidP="00236DD5">
            <w:pPr>
              <w:spacing w:before="120" w:after="120"/>
              <w:jc w:val="both"/>
              <w:rPr>
                <w:rFonts w:cs="Arial"/>
                <w:sz w:val="20"/>
                <w:szCs w:val="20"/>
              </w:rPr>
            </w:pPr>
          </w:p>
        </w:tc>
      </w:tr>
      <w:tr w:rsidR="000641D0" w:rsidRPr="006A0EC0" w14:paraId="70D9A0F3" w14:textId="77777777" w:rsidTr="00662B89">
        <w:tc>
          <w:tcPr>
            <w:tcW w:w="851" w:type="dxa"/>
            <w:tcBorders>
              <w:top w:val="single" w:sz="4" w:space="0" w:color="auto"/>
              <w:bottom w:val="nil"/>
            </w:tcBorders>
          </w:tcPr>
          <w:p w14:paraId="5DB89EED" w14:textId="23D8D058" w:rsidR="000641D0" w:rsidRPr="00F31D31" w:rsidRDefault="000641D0" w:rsidP="000641D0">
            <w:pPr>
              <w:spacing w:before="120" w:after="120"/>
              <w:jc w:val="center"/>
              <w:rPr>
                <w:sz w:val="20"/>
                <w:szCs w:val="20"/>
              </w:rPr>
            </w:pPr>
          </w:p>
        </w:tc>
        <w:tc>
          <w:tcPr>
            <w:tcW w:w="9922" w:type="dxa"/>
            <w:tcBorders>
              <w:top w:val="single" w:sz="4" w:space="0" w:color="auto"/>
              <w:bottom w:val="nil"/>
            </w:tcBorders>
          </w:tcPr>
          <w:p w14:paraId="1FE81255" w14:textId="39FCC9DD" w:rsidR="000641D0" w:rsidRDefault="00236DD5" w:rsidP="00236DD5">
            <w:pPr>
              <w:spacing w:before="120" w:after="120"/>
              <w:jc w:val="both"/>
              <w:rPr>
                <w:rFonts w:cs="Arial"/>
                <w:sz w:val="20"/>
                <w:szCs w:val="20"/>
              </w:rPr>
            </w:pPr>
            <w:r>
              <w:rPr>
                <w:rFonts w:cs="Arial"/>
                <w:sz w:val="20"/>
                <w:szCs w:val="20"/>
              </w:rPr>
              <w:t xml:space="preserve">The Procurement in itself should have been treated as a high value procurement exercise, </w:t>
            </w:r>
            <w:r w:rsidR="005C6AD9">
              <w:rPr>
                <w:rFonts w:cs="Arial"/>
                <w:sz w:val="20"/>
                <w:szCs w:val="20"/>
              </w:rPr>
              <w:t>see below key elements of</w:t>
            </w:r>
            <w:r w:rsidR="00910827">
              <w:rPr>
                <w:rFonts w:cs="Arial"/>
                <w:sz w:val="20"/>
                <w:szCs w:val="20"/>
              </w:rPr>
              <w:t xml:space="preserve"> </w:t>
            </w:r>
            <w:r>
              <w:rPr>
                <w:rFonts w:cs="Arial"/>
                <w:sz w:val="20"/>
                <w:szCs w:val="20"/>
              </w:rPr>
              <w:t xml:space="preserve">Contract Procedure Rules </w:t>
            </w:r>
            <w:r w:rsidR="00F4444E">
              <w:rPr>
                <w:rFonts w:cs="Arial"/>
                <w:sz w:val="20"/>
                <w:szCs w:val="20"/>
              </w:rPr>
              <w:t>where breaches have occurred i</w:t>
            </w:r>
            <w:r>
              <w:rPr>
                <w:rFonts w:cs="Arial"/>
                <w:sz w:val="20"/>
                <w:szCs w:val="20"/>
              </w:rPr>
              <w:t>n regard to that level of procurement:-</w:t>
            </w:r>
          </w:p>
          <w:p w14:paraId="41EF7F0A" w14:textId="77777777" w:rsidR="00236DD5" w:rsidRDefault="00A14F3A" w:rsidP="004A16B4">
            <w:pPr>
              <w:pStyle w:val="ListParagraph"/>
              <w:numPr>
                <w:ilvl w:val="0"/>
                <w:numId w:val="8"/>
              </w:numPr>
              <w:spacing w:before="120" w:after="120"/>
              <w:rPr>
                <w:rFonts w:cs="Arial"/>
                <w:sz w:val="20"/>
                <w:szCs w:val="20"/>
              </w:rPr>
            </w:pPr>
            <w:r w:rsidRPr="00A14F3A">
              <w:rPr>
                <w:rFonts w:cs="Arial"/>
                <w:sz w:val="20"/>
                <w:szCs w:val="20"/>
              </w:rPr>
              <w:t>Every contract entered into by the Council’s shall be entered into in connection with the Council’s functions and must comply with:</w:t>
            </w:r>
            <w:r w:rsidRPr="00A14F3A">
              <w:rPr>
                <w:rFonts w:cs="Arial"/>
                <w:sz w:val="20"/>
                <w:szCs w:val="20"/>
              </w:rPr>
              <w:br/>
              <w:t xml:space="preserve"> - all relevant statutory provisions;</w:t>
            </w:r>
            <w:r w:rsidRPr="00A14F3A">
              <w:rPr>
                <w:rFonts w:cs="Arial"/>
                <w:sz w:val="20"/>
                <w:szCs w:val="20"/>
              </w:rPr>
              <w:br/>
              <w:t xml:space="preserve"> - the relevant European Procurement Rules;</w:t>
            </w:r>
            <w:r w:rsidRPr="00A14F3A">
              <w:rPr>
                <w:rFonts w:cs="Arial"/>
                <w:sz w:val="20"/>
                <w:szCs w:val="20"/>
              </w:rPr>
              <w:br/>
              <w:t xml:space="preserve"> - the Council’s Constitution including CPR’s, the Authority’s Financial Regulations and Financial Procedure Rules and the Council’s Scheme of Delegation;</w:t>
            </w:r>
            <w:r>
              <w:rPr>
                <w:rFonts w:cs="Arial"/>
                <w:sz w:val="20"/>
                <w:szCs w:val="20"/>
              </w:rPr>
              <w:br/>
            </w:r>
          </w:p>
          <w:p w14:paraId="67C2A770" w14:textId="77777777" w:rsidR="00A14F3A" w:rsidRDefault="00A14F3A" w:rsidP="004A16B4">
            <w:pPr>
              <w:pStyle w:val="ListParagraph"/>
              <w:numPr>
                <w:ilvl w:val="0"/>
                <w:numId w:val="8"/>
              </w:numPr>
              <w:spacing w:before="120" w:after="120"/>
              <w:rPr>
                <w:rFonts w:cs="Arial"/>
                <w:sz w:val="20"/>
                <w:szCs w:val="20"/>
              </w:rPr>
            </w:pPr>
            <w:r>
              <w:rPr>
                <w:rFonts w:cs="Arial"/>
                <w:sz w:val="20"/>
                <w:szCs w:val="20"/>
              </w:rPr>
              <w:t>Effective audit trails must be maintained at all stages throughout the procurement procedure, particularly when approval or agreement is required and at evaluation / decision making stages;</w:t>
            </w:r>
          </w:p>
          <w:p w14:paraId="74E556C9" w14:textId="77777777" w:rsidR="00A14F3A" w:rsidRDefault="00A14F3A" w:rsidP="004A16B4">
            <w:pPr>
              <w:pStyle w:val="ListParagraph"/>
              <w:numPr>
                <w:ilvl w:val="0"/>
                <w:numId w:val="8"/>
              </w:numPr>
              <w:spacing w:before="120" w:after="120"/>
              <w:rPr>
                <w:rFonts w:cs="Arial"/>
                <w:sz w:val="20"/>
                <w:szCs w:val="20"/>
              </w:rPr>
            </w:pPr>
            <w:r>
              <w:rPr>
                <w:rFonts w:cs="Arial"/>
                <w:sz w:val="20"/>
                <w:szCs w:val="20"/>
              </w:rPr>
              <w:t>Any procurement carried out on behalf of the Council may only be undertaken by officers with the appropriate delegated authority to carry out such tasks as set out in the Council’s Constitution (Scheme of Delegation);</w:t>
            </w:r>
          </w:p>
          <w:p w14:paraId="0EB5D5D9" w14:textId="335961CF" w:rsidR="00A14F3A" w:rsidRPr="00A14F3A" w:rsidRDefault="00A14F3A" w:rsidP="004A16B4">
            <w:pPr>
              <w:pStyle w:val="ListParagraph"/>
              <w:numPr>
                <w:ilvl w:val="0"/>
                <w:numId w:val="8"/>
              </w:numPr>
              <w:spacing w:before="120" w:after="120"/>
              <w:rPr>
                <w:rFonts w:cs="Arial"/>
                <w:sz w:val="20"/>
                <w:szCs w:val="20"/>
              </w:rPr>
            </w:pPr>
            <w:r w:rsidRPr="00A14F3A">
              <w:rPr>
                <w:rFonts w:cs="Arial"/>
                <w:sz w:val="20"/>
                <w:szCs w:val="20"/>
              </w:rPr>
              <w:t>Subject to the provisions of Paragraph 5.6, Directors and their Authorised Officers may seek Tenders and Quotations in accordance with these Contracts Procedure Rules for any item of revenue expenditure for which budget provision has been made, and may accept such Tenders/ Quotations in accordance with these Contracts Procedure Rules, up to a total contract value of £100,000. Contract awards above £100,000 constitute a Key Decision and must appear on the Forward Plan</w:t>
            </w:r>
            <w:r w:rsidR="005C6AD9">
              <w:rPr>
                <w:rFonts w:cs="Arial"/>
                <w:sz w:val="20"/>
                <w:szCs w:val="20"/>
              </w:rPr>
              <w:t>.</w:t>
            </w:r>
          </w:p>
        </w:tc>
      </w:tr>
      <w:tr w:rsidR="005C6AD9" w:rsidRPr="006A0EC0" w14:paraId="4D519C82" w14:textId="77777777" w:rsidTr="004A16B4">
        <w:tc>
          <w:tcPr>
            <w:tcW w:w="851" w:type="dxa"/>
            <w:tcBorders>
              <w:top w:val="nil"/>
              <w:bottom w:val="nil"/>
            </w:tcBorders>
          </w:tcPr>
          <w:p w14:paraId="6BEB16E9" w14:textId="77777777" w:rsidR="005C6AD9" w:rsidRPr="00F31D31" w:rsidRDefault="005C6AD9" w:rsidP="000641D0">
            <w:pPr>
              <w:spacing w:before="120" w:after="120"/>
              <w:jc w:val="center"/>
              <w:rPr>
                <w:sz w:val="20"/>
                <w:szCs w:val="20"/>
              </w:rPr>
            </w:pPr>
          </w:p>
        </w:tc>
        <w:tc>
          <w:tcPr>
            <w:tcW w:w="9922" w:type="dxa"/>
            <w:tcBorders>
              <w:top w:val="nil"/>
              <w:bottom w:val="nil"/>
            </w:tcBorders>
          </w:tcPr>
          <w:p w14:paraId="75B1553F" w14:textId="53375531" w:rsidR="005C6AD9" w:rsidRDefault="005C6AD9" w:rsidP="005C6AD9">
            <w:pPr>
              <w:pStyle w:val="Default"/>
              <w:rPr>
                <w:sz w:val="20"/>
                <w:szCs w:val="20"/>
              </w:rPr>
            </w:pPr>
            <w:r w:rsidRPr="005C6AD9">
              <w:rPr>
                <w:sz w:val="20"/>
                <w:szCs w:val="20"/>
              </w:rPr>
              <w:t>The Procurement has also breached European Procurement Rules which state:-</w:t>
            </w:r>
            <w:r>
              <w:rPr>
                <w:sz w:val="20"/>
                <w:szCs w:val="20"/>
              </w:rPr>
              <w:br/>
            </w:r>
          </w:p>
          <w:p w14:paraId="6CFD6C75" w14:textId="04C9F7E2" w:rsidR="005C6AD9" w:rsidRPr="005C6AD9" w:rsidRDefault="005C6AD9" w:rsidP="004A16B4">
            <w:pPr>
              <w:pStyle w:val="Default"/>
              <w:numPr>
                <w:ilvl w:val="0"/>
                <w:numId w:val="9"/>
              </w:numPr>
              <w:rPr>
                <w:sz w:val="20"/>
                <w:szCs w:val="20"/>
              </w:rPr>
            </w:pPr>
            <w:r w:rsidRPr="005C6AD9">
              <w:rPr>
                <w:sz w:val="20"/>
                <w:szCs w:val="20"/>
              </w:rPr>
              <w:t xml:space="preserve">Where the estimated value of a contract exceeds the current EU threshold the contract shall be tendered in accordance with the Regulations. Under the Regulations, the contract may be tendered under the Open, Restricted, or, in exceptional circumstances exhaustively set out in the Regulations, the Competitive Procedure with Negotiation, Competitive Dialogue or Innovation Partnership procedure. For each contract tendered in accordance with the Regulations, a contract notice shall be published in the prescribed form in the Supplement to the Official Journal to the European Union (OJEU) to invite tenders or expressions of interest </w:t>
            </w:r>
          </w:p>
          <w:p w14:paraId="34DAEA0C" w14:textId="5136B738" w:rsidR="005C6AD9" w:rsidRPr="005C6AD9" w:rsidRDefault="005C6AD9" w:rsidP="004A16B4">
            <w:pPr>
              <w:pStyle w:val="ListParagraph"/>
              <w:numPr>
                <w:ilvl w:val="0"/>
                <w:numId w:val="9"/>
              </w:numPr>
              <w:spacing w:before="120" w:after="120"/>
              <w:rPr>
                <w:rFonts w:cs="Arial"/>
                <w:sz w:val="20"/>
                <w:szCs w:val="20"/>
              </w:rPr>
            </w:pPr>
            <w:r w:rsidRPr="005C6AD9">
              <w:rPr>
                <w:sz w:val="20"/>
                <w:szCs w:val="20"/>
              </w:rPr>
              <w:t>Advertisements published in addition to the OJEU notice must not appear in any form before a contract notice is published by the EU Publications Office and must not contain any information additional to that contained in the contract notice.</w:t>
            </w:r>
          </w:p>
        </w:tc>
      </w:tr>
      <w:tr w:rsidR="000641D0" w:rsidRPr="006A0EC0" w14:paraId="5AEDEF17" w14:textId="77777777" w:rsidTr="004A16B4">
        <w:tc>
          <w:tcPr>
            <w:tcW w:w="851" w:type="dxa"/>
            <w:tcBorders>
              <w:top w:val="nil"/>
              <w:bottom w:val="single" w:sz="6" w:space="0" w:color="auto"/>
            </w:tcBorders>
          </w:tcPr>
          <w:p w14:paraId="148212DD" w14:textId="706D51FF" w:rsidR="000641D0" w:rsidRPr="00F31D31" w:rsidRDefault="000641D0" w:rsidP="000641D0">
            <w:pPr>
              <w:spacing w:before="120" w:after="120"/>
              <w:jc w:val="center"/>
              <w:rPr>
                <w:sz w:val="20"/>
                <w:szCs w:val="20"/>
              </w:rPr>
            </w:pPr>
          </w:p>
        </w:tc>
        <w:tc>
          <w:tcPr>
            <w:tcW w:w="9922" w:type="dxa"/>
            <w:tcBorders>
              <w:top w:val="nil"/>
              <w:bottom w:val="single" w:sz="6" w:space="0" w:color="auto"/>
            </w:tcBorders>
          </w:tcPr>
          <w:p w14:paraId="595A9DFC" w14:textId="45B4C26B" w:rsidR="000641D0" w:rsidRDefault="00603A27" w:rsidP="00603A27">
            <w:pPr>
              <w:spacing w:before="120" w:after="120"/>
              <w:rPr>
                <w:rFonts w:cs="Arial"/>
                <w:sz w:val="20"/>
                <w:szCs w:val="20"/>
              </w:rPr>
            </w:pPr>
            <w:r>
              <w:rPr>
                <w:rFonts w:cs="Arial"/>
                <w:sz w:val="20"/>
                <w:szCs w:val="20"/>
              </w:rPr>
              <w:t>The Financial Regulations, where potential  breaches have occurred are as follows:-</w:t>
            </w:r>
            <w:r>
              <w:rPr>
                <w:rFonts w:cs="Arial"/>
                <w:sz w:val="20"/>
                <w:szCs w:val="20"/>
              </w:rPr>
              <w:br/>
            </w:r>
          </w:p>
          <w:p w14:paraId="42673952" w14:textId="77777777" w:rsidR="00603A27" w:rsidRDefault="00603A27" w:rsidP="004A16B4">
            <w:pPr>
              <w:pStyle w:val="ListParagraph"/>
              <w:numPr>
                <w:ilvl w:val="0"/>
                <w:numId w:val="7"/>
              </w:numPr>
              <w:spacing w:before="120" w:after="120"/>
              <w:rPr>
                <w:rFonts w:cs="Arial"/>
                <w:sz w:val="20"/>
                <w:szCs w:val="20"/>
              </w:rPr>
            </w:pPr>
            <w:r>
              <w:rPr>
                <w:rFonts w:cs="Arial"/>
                <w:sz w:val="20"/>
                <w:szCs w:val="20"/>
              </w:rPr>
              <w:t>The Chief Financial Officer shall be informed by the responsible officer of any matters which have significant financial implications for the Council;</w:t>
            </w:r>
          </w:p>
          <w:p w14:paraId="4CEE6B47" w14:textId="77777777" w:rsidR="00603A27" w:rsidRDefault="00603A27" w:rsidP="004A16B4">
            <w:pPr>
              <w:pStyle w:val="ListParagraph"/>
              <w:numPr>
                <w:ilvl w:val="0"/>
                <w:numId w:val="7"/>
              </w:numPr>
              <w:spacing w:before="120" w:after="120"/>
              <w:rPr>
                <w:rFonts w:cs="Arial"/>
                <w:sz w:val="20"/>
                <w:szCs w:val="20"/>
              </w:rPr>
            </w:pPr>
            <w:r>
              <w:rPr>
                <w:rFonts w:cs="Arial"/>
                <w:sz w:val="20"/>
                <w:szCs w:val="20"/>
              </w:rPr>
              <w:t>The Council’s Senior Management must ensure that these Financial Regulations are observed throughout the authority;</w:t>
            </w:r>
          </w:p>
          <w:p w14:paraId="4302B025" w14:textId="19D37A6E" w:rsidR="00603A27" w:rsidRDefault="00603A27" w:rsidP="004A16B4">
            <w:pPr>
              <w:pStyle w:val="ListParagraph"/>
              <w:numPr>
                <w:ilvl w:val="0"/>
                <w:numId w:val="7"/>
              </w:numPr>
              <w:spacing w:before="120" w:after="120"/>
              <w:rPr>
                <w:rFonts w:cs="Arial"/>
                <w:sz w:val="20"/>
                <w:szCs w:val="20"/>
              </w:rPr>
            </w:pPr>
            <w:r>
              <w:rPr>
                <w:rFonts w:cs="Arial"/>
                <w:sz w:val="20"/>
                <w:szCs w:val="20"/>
              </w:rPr>
              <w:t>Chief Officers shall have the power to incur revenue expenditure to the limit of their budget allocation, subject to the Council’s Financial and Contract Procedure Rules and Scheme of delegation without further approval, except for……..</w:t>
            </w:r>
            <w:r>
              <w:rPr>
                <w:rFonts w:cs="Arial"/>
                <w:sz w:val="20"/>
                <w:szCs w:val="20"/>
              </w:rPr>
              <w:br/>
            </w:r>
            <w:r w:rsidR="00F7248B">
              <w:rPr>
                <w:rFonts w:cs="Arial"/>
                <w:sz w:val="20"/>
                <w:szCs w:val="20"/>
              </w:rPr>
              <w:t xml:space="preserve"> - </w:t>
            </w:r>
            <w:r>
              <w:rPr>
                <w:rFonts w:cs="Arial"/>
                <w:sz w:val="20"/>
                <w:szCs w:val="20"/>
              </w:rPr>
              <w:t>any expenditure which would trigger a key decision as defined by the Constitution (£100,000)</w:t>
            </w:r>
          </w:p>
          <w:p w14:paraId="364E43E1" w14:textId="77777777" w:rsidR="00603A27" w:rsidRDefault="00603A27" w:rsidP="004A16B4">
            <w:pPr>
              <w:pStyle w:val="ListParagraph"/>
              <w:numPr>
                <w:ilvl w:val="0"/>
                <w:numId w:val="7"/>
              </w:numPr>
              <w:spacing w:before="120" w:after="120"/>
              <w:rPr>
                <w:rFonts w:cs="Arial"/>
                <w:sz w:val="20"/>
                <w:szCs w:val="20"/>
              </w:rPr>
            </w:pPr>
            <w:r>
              <w:rPr>
                <w:rFonts w:cs="Arial"/>
                <w:sz w:val="20"/>
                <w:szCs w:val="20"/>
              </w:rPr>
              <w:t>Chief Officers are responsible for ensuring that any written contracts, agreements, awards and other instruments involving payment of receipt of money by the Council adhere to the Counci</w:t>
            </w:r>
            <w:r w:rsidR="00535B9E">
              <w:rPr>
                <w:rFonts w:cs="Arial"/>
                <w:sz w:val="20"/>
                <w:szCs w:val="20"/>
              </w:rPr>
              <w:t>ls standing orders and contract procedure rules;</w:t>
            </w:r>
          </w:p>
          <w:p w14:paraId="5D1A7456" w14:textId="3DA81476" w:rsidR="00711391" w:rsidRPr="00603A27" w:rsidRDefault="00535B9E" w:rsidP="004A16B4">
            <w:pPr>
              <w:pStyle w:val="ListParagraph"/>
              <w:numPr>
                <w:ilvl w:val="0"/>
                <w:numId w:val="7"/>
              </w:numPr>
              <w:spacing w:before="120" w:after="120"/>
              <w:rPr>
                <w:rFonts w:cs="Arial"/>
                <w:sz w:val="20"/>
                <w:szCs w:val="20"/>
              </w:rPr>
            </w:pPr>
            <w:r>
              <w:rPr>
                <w:rFonts w:cs="Arial"/>
                <w:sz w:val="20"/>
                <w:szCs w:val="20"/>
              </w:rPr>
              <w:t>A contract must only be awarded and signed by a person who is authorised to do so, as set out in the Council’s Contract Procedure Rules.  The authoriser must ensure that the appropriate budget h</w:t>
            </w:r>
            <w:r w:rsidR="00711391">
              <w:rPr>
                <w:rFonts w:cs="Arial"/>
                <w:sz w:val="20"/>
                <w:szCs w:val="20"/>
              </w:rPr>
              <w:t>older has the funds in place to sustain the contract prior to awar</w:t>
            </w:r>
            <w:r w:rsidR="005C6AD9">
              <w:rPr>
                <w:rFonts w:cs="Arial"/>
                <w:sz w:val="20"/>
                <w:szCs w:val="20"/>
              </w:rPr>
              <w:t>d</w:t>
            </w:r>
          </w:p>
        </w:tc>
      </w:tr>
    </w:tbl>
    <w:p w14:paraId="2518F7B6" w14:textId="77777777" w:rsidR="004A16B4" w:rsidRDefault="004A16B4">
      <w: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5C6AD9" w:rsidRPr="005C6AD9" w14:paraId="062F4F20" w14:textId="77777777" w:rsidTr="004A16B4">
        <w:tc>
          <w:tcPr>
            <w:tcW w:w="851" w:type="dxa"/>
            <w:tcBorders>
              <w:top w:val="single" w:sz="6" w:space="0" w:color="auto"/>
              <w:bottom w:val="single" w:sz="6" w:space="0" w:color="auto"/>
            </w:tcBorders>
            <w:shd w:val="clear" w:color="auto" w:fill="B8CCE4" w:themeFill="accent1" w:themeFillTint="66"/>
          </w:tcPr>
          <w:p w14:paraId="7E7C107E" w14:textId="77777777" w:rsidR="005C6AD9" w:rsidRPr="005C6AD9" w:rsidRDefault="005C6AD9" w:rsidP="00D1150E">
            <w:pPr>
              <w:spacing w:before="120" w:after="120"/>
              <w:jc w:val="center"/>
              <w:rPr>
                <w:b/>
              </w:rPr>
            </w:pPr>
          </w:p>
        </w:tc>
        <w:tc>
          <w:tcPr>
            <w:tcW w:w="9922" w:type="dxa"/>
            <w:tcBorders>
              <w:top w:val="single" w:sz="6" w:space="0" w:color="auto"/>
              <w:bottom w:val="single" w:sz="6" w:space="0" w:color="auto"/>
            </w:tcBorders>
            <w:shd w:val="clear" w:color="auto" w:fill="B8CCE4" w:themeFill="accent1" w:themeFillTint="66"/>
          </w:tcPr>
          <w:p w14:paraId="7891A336" w14:textId="3FF50131" w:rsidR="005C6AD9" w:rsidRPr="005C6AD9" w:rsidRDefault="005C6AD9" w:rsidP="00D1150E">
            <w:pPr>
              <w:spacing w:before="120" w:after="120"/>
              <w:rPr>
                <w:b/>
              </w:rPr>
            </w:pPr>
            <w:r w:rsidRPr="005C6AD9">
              <w:rPr>
                <w:b/>
              </w:rPr>
              <w:t>Further 2 Contracts</w:t>
            </w:r>
          </w:p>
        </w:tc>
      </w:tr>
      <w:tr w:rsidR="005C6AD9" w:rsidRPr="006A0EC0" w14:paraId="3FA1DC0C" w14:textId="77777777" w:rsidTr="0054566C">
        <w:tc>
          <w:tcPr>
            <w:tcW w:w="851" w:type="dxa"/>
            <w:tcBorders>
              <w:top w:val="nil"/>
              <w:bottom w:val="nil"/>
            </w:tcBorders>
          </w:tcPr>
          <w:p w14:paraId="1589729B" w14:textId="77777777" w:rsidR="005C6AD9" w:rsidRPr="00F31D31" w:rsidRDefault="005C6AD9" w:rsidP="00D1150E">
            <w:pPr>
              <w:spacing w:before="120" w:after="120"/>
              <w:jc w:val="center"/>
              <w:rPr>
                <w:sz w:val="20"/>
                <w:szCs w:val="20"/>
              </w:rPr>
            </w:pPr>
          </w:p>
        </w:tc>
        <w:tc>
          <w:tcPr>
            <w:tcW w:w="9922" w:type="dxa"/>
            <w:tcBorders>
              <w:top w:val="nil"/>
              <w:bottom w:val="nil"/>
            </w:tcBorders>
          </w:tcPr>
          <w:p w14:paraId="645431EC" w14:textId="77777777" w:rsidR="005C6AD9" w:rsidRDefault="00F9198D" w:rsidP="00F9198D">
            <w:pPr>
              <w:spacing w:before="120" w:after="120"/>
              <w:rPr>
                <w:rFonts w:cs="Arial"/>
                <w:sz w:val="20"/>
                <w:szCs w:val="20"/>
              </w:rPr>
            </w:pPr>
            <w:r>
              <w:rPr>
                <w:rFonts w:cs="Arial"/>
                <w:sz w:val="20"/>
                <w:szCs w:val="20"/>
              </w:rPr>
              <w:t>2 contracts were identified on the Transparency Register in March 2020, the information as per the Transparency register is outlined below:</w:t>
            </w:r>
            <w:r>
              <w:rPr>
                <w:rFonts w:cs="Arial"/>
                <w:sz w:val="20"/>
                <w:szCs w:val="20"/>
              </w:rPr>
              <w:br/>
            </w:r>
            <w:r>
              <w:rPr>
                <w:rFonts w:cs="Arial"/>
                <w:sz w:val="20"/>
                <w:szCs w:val="20"/>
              </w:rPr>
              <w:br/>
            </w:r>
            <w:proofErr w:type="spellStart"/>
            <w:r>
              <w:rPr>
                <w:rFonts w:cs="Arial"/>
                <w:sz w:val="20"/>
                <w:szCs w:val="20"/>
              </w:rPr>
              <w:t>i</w:t>
            </w:r>
            <w:proofErr w:type="spellEnd"/>
            <w:r>
              <w:rPr>
                <w:rFonts w:cs="Arial"/>
                <w:sz w:val="20"/>
                <w:szCs w:val="20"/>
              </w:rPr>
              <w:t>)  BELEC Electrical – Contract for Electrical Services Value £70,000; Contract End Date Jul-18;</w:t>
            </w:r>
          </w:p>
          <w:p w14:paraId="628FBF11" w14:textId="0A16F845" w:rsidR="00F9198D" w:rsidRPr="00F9198D" w:rsidRDefault="00F9198D" w:rsidP="00F9198D">
            <w:pPr>
              <w:spacing w:before="120" w:after="120"/>
              <w:rPr>
                <w:rFonts w:cs="Arial"/>
                <w:sz w:val="20"/>
                <w:szCs w:val="20"/>
              </w:rPr>
            </w:pPr>
            <w:r>
              <w:rPr>
                <w:rFonts w:cs="Arial"/>
                <w:sz w:val="20"/>
                <w:szCs w:val="20"/>
              </w:rPr>
              <w:t xml:space="preserve">ii) British Gas – Boiler Maintenance Care Plan Value £32,000; Contract End Date Mar-20. </w:t>
            </w:r>
          </w:p>
        </w:tc>
      </w:tr>
      <w:tr w:rsidR="0054566C" w:rsidRPr="006A0EC0" w14:paraId="0BFDB4F2" w14:textId="77777777" w:rsidTr="0054566C">
        <w:tc>
          <w:tcPr>
            <w:tcW w:w="851" w:type="dxa"/>
            <w:tcBorders>
              <w:top w:val="nil"/>
              <w:bottom w:val="nil"/>
            </w:tcBorders>
          </w:tcPr>
          <w:p w14:paraId="4D6494BE" w14:textId="77777777" w:rsidR="0054566C" w:rsidRPr="00F31D31" w:rsidRDefault="0054566C" w:rsidP="00D1150E">
            <w:pPr>
              <w:spacing w:before="120" w:after="120"/>
              <w:jc w:val="center"/>
              <w:rPr>
                <w:sz w:val="20"/>
                <w:szCs w:val="20"/>
              </w:rPr>
            </w:pPr>
          </w:p>
        </w:tc>
        <w:tc>
          <w:tcPr>
            <w:tcW w:w="9922" w:type="dxa"/>
            <w:tcBorders>
              <w:top w:val="nil"/>
              <w:bottom w:val="nil"/>
            </w:tcBorders>
          </w:tcPr>
          <w:p w14:paraId="26AB12D1" w14:textId="637657DC" w:rsidR="0054566C" w:rsidRDefault="0054566C" w:rsidP="0054566C">
            <w:pPr>
              <w:spacing w:before="120" w:after="120"/>
              <w:rPr>
                <w:rFonts w:cs="Arial"/>
                <w:sz w:val="20"/>
                <w:szCs w:val="20"/>
              </w:rPr>
            </w:pPr>
            <w:r>
              <w:rPr>
                <w:rFonts w:cs="Arial"/>
                <w:sz w:val="20"/>
                <w:szCs w:val="20"/>
              </w:rPr>
              <w:t>Discussions identified that these 2 items had been highlighted on the Transparency Register with a “request for an update in respect of the contracts” at each iteration which is issued to Leadership Team each quarter, prior to publishing.  Procurement had received no response to the request for update.</w:t>
            </w:r>
          </w:p>
        </w:tc>
      </w:tr>
      <w:tr w:rsidR="0054566C" w:rsidRPr="006A0EC0" w14:paraId="4E8333E3" w14:textId="77777777" w:rsidTr="00D97831">
        <w:tc>
          <w:tcPr>
            <w:tcW w:w="851" w:type="dxa"/>
            <w:tcBorders>
              <w:top w:val="nil"/>
              <w:bottom w:val="single" w:sz="4" w:space="0" w:color="auto"/>
            </w:tcBorders>
          </w:tcPr>
          <w:p w14:paraId="3B73D7D8" w14:textId="77777777" w:rsidR="0054566C" w:rsidRPr="00F31D31" w:rsidRDefault="0054566C" w:rsidP="00D1150E">
            <w:pPr>
              <w:spacing w:before="120" w:after="120"/>
              <w:jc w:val="center"/>
              <w:rPr>
                <w:sz w:val="20"/>
                <w:szCs w:val="20"/>
              </w:rPr>
            </w:pPr>
          </w:p>
        </w:tc>
        <w:tc>
          <w:tcPr>
            <w:tcW w:w="9922" w:type="dxa"/>
            <w:tcBorders>
              <w:top w:val="nil"/>
              <w:bottom w:val="single" w:sz="4" w:space="0" w:color="auto"/>
            </w:tcBorders>
          </w:tcPr>
          <w:p w14:paraId="745D1896" w14:textId="77777777" w:rsidR="0054566C" w:rsidRDefault="00D97831" w:rsidP="0054566C">
            <w:pPr>
              <w:spacing w:before="120" w:after="120"/>
              <w:rPr>
                <w:rFonts w:cs="Arial"/>
                <w:sz w:val="20"/>
                <w:szCs w:val="20"/>
              </w:rPr>
            </w:pPr>
            <w:r>
              <w:rPr>
                <w:rFonts w:cs="Arial"/>
                <w:sz w:val="20"/>
                <w:szCs w:val="20"/>
              </w:rPr>
              <w:t>A review of spend on both identified that the following expenditure had been incurred for each of these contracts:-</w:t>
            </w:r>
            <w:r>
              <w:rPr>
                <w:rFonts w:cs="Arial"/>
                <w:sz w:val="20"/>
                <w:szCs w:val="20"/>
              </w:rPr>
              <w:br/>
            </w:r>
            <w:r>
              <w:rPr>
                <w:rFonts w:cs="Arial"/>
                <w:sz w:val="20"/>
                <w:szCs w:val="20"/>
              </w:rPr>
              <w:br/>
            </w:r>
            <w:proofErr w:type="spellStart"/>
            <w:r>
              <w:rPr>
                <w:rFonts w:cs="Arial"/>
                <w:sz w:val="20"/>
                <w:szCs w:val="20"/>
              </w:rPr>
              <w:t>i</w:t>
            </w:r>
            <w:proofErr w:type="spellEnd"/>
            <w:r>
              <w:rPr>
                <w:rFonts w:cs="Arial"/>
                <w:sz w:val="20"/>
                <w:szCs w:val="20"/>
              </w:rPr>
              <w:t>) BELEC Electrical - £52K approx.;</w:t>
            </w:r>
          </w:p>
          <w:p w14:paraId="662C59F0" w14:textId="046BA477" w:rsidR="00D97831" w:rsidRDefault="00D97831" w:rsidP="0054566C">
            <w:pPr>
              <w:spacing w:before="120" w:after="120"/>
              <w:rPr>
                <w:rFonts w:cs="Arial"/>
                <w:sz w:val="20"/>
                <w:szCs w:val="20"/>
              </w:rPr>
            </w:pPr>
            <w:r>
              <w:rPr>
                <w:rFonts w:cs="Arial"/>
                <w:sz w:val="20"/>
                <w:szCs w:val="20"/>
              </w:rPr>
              <w:t>ii)British Gas – £30K ( this was because an installation of heaters had been procured via the same contractor)</w:t>
            </w:r>
          </w:p>
        </w:tc>
      </w:tr>
      <w:tr w:rsidR="0054566C" w:rsidRPr="006A0EC0" w14:paraId="00E9C7C9" w14:textId="77777777" w:rsidTr="00D97831">
        <w:tc>
          <w:tcPr>
            <w:tcW w:w="851" w:type="dxa"/>
            <w:tcBorders>
              <w:top w:val="single" w:sz="4" w:space="0" w:color="auto"/>
              <w:bottom w:val="single" w:sz="4" w:space="0" w:color="auto"/>
            </w:tcBorders>
          </w:tcPr>
          <w:p w14:paraId="32BB41F9" w14:textId="77777777" w:rsidR="0054566C" w:rsidRPr="00F31D31" w:rsidRDefault="0054566C" w:rsidP="00D1150E">
            <w:pPr>
              <w:spacing w:before="120" w:after="120"/>
              <w:jc w:val="center"/>
              <w:rPr>
                <w:sz w:val="20"/>
                <w:szCs w:val="20"/>
              </w:rPr>
            </w:pPr>
          </w:p>
        </w:tc>
        <w:tc>
          <w:tcPr>
            <w:tcW w:w="9922" w:type="dxa"/>
            <w:tcBorders>
              <w:top w:val="single" w:sz="4" w:space="0" w:color="auto"/>
              <w:bottom w:val="single" w:sz="4" w:space="0" w:color="auto"/>
            </w:tcBorders>
          </w:tcPr>
          <w:p w14:paraId="7239723B" w14:textId="03D73619" w:rsidR="0054566C" w:rsidRDefault="00D97831" w:rsidP="0054566C">
            <w:pPr>
              <w:spacing w:before="120" w:after="120"/>
              <w:rPr>
                <w:rFonts w:cs="Arial"/>
                <w:sz w:val="20"/>
                <w:szCs w:val="20"/>
              </w:rPr>
            </w:pPr>
            <w:r>
              <w:rPr>
                <w:rFonts w:cs="Arial"/>
                <w:sz w:val="20"/>
                <w:szCs w:val="20"/>
              </w:rPr>
              <w:t>It was identified as part of the review that the original procurement value for BELEC was identified as around £35K per year for Electrical Testing work, however, the Council utilised the same company for its ad hoc electrical work, which meant that the value of the work given to BELEC increased substantially.</w:t>
            </w:r>
          </w:p>
          <w:p w14:paraId="54DEC2F3" w14:textId="6E0AB311" w:rsidR="00D97831" w:rsidRDefault="00D97831" w:rsidP="00D97831">
            <w:pPr>
              <w:spacing w:before="120" w:after="120"/>
              <w:rPr>
                <w:rFonts w:cs="Arial"/>
                <w:sz w:val="20"/>
                <w:szCs w:val="20"/>
              </w:rPr>
            </w:pPr>
            <w:r>
              <w:rPr>
                <w:rFonts w:cs="Arial"/>
                <w:sz w:val="20"/>
                <w:szCs w:val="20"/>
              </w:rPr>
              <w:t>In relation to British Gas this was an annual Boiler Maintenance Care plan which was estimated around £14K, however, due to additional works being requested via the same supplier the expenditure had increased in value for 2019/20</w:t>
            </w:r>
          </w:p>
        </w:tc>
      </w:tr>
      <w:tr w:rsidR="0054566C" w:rsidRPr="006A0EC0" w14:paraId="6C7D981B" w14:textId="77777777" w:rsidTr="009A7572">
        <w:tc>
          <w:tcPr>
            <w:tcW w:w="851" w:type="dxa"/>
            <w:tcBorders>
              <w:top w:val="nil"/>
              <w:bottom w:val="nil"/>
            </w:tcBorders>
          </w:tcPr>
          <w:p w14:paraId="3CA07CB2" w14:textId="20E03A98" w:rsidR="0054566C" w:rsidRPr="00F31D31" w:rsidRDefault="0054566C" w:rsidP="00D1150E">
            <w:pPr>
              <w:spacing w:before="120" w:after="120"/>
              <w:jc w:val="center"/>
              <w:rPr>
                <w:sz w:val="20"/>
                <w:szCs w:val="20"/>
              </w:rPr>
            </w:pPr>
          </w:p>
        </w:tc>
        <w:tc>
          <w:tcPr>
            <w:tcW w:w="9922" w:type="dxa"/>
            <w:tcBorders>
              <w:top w:val="nil"/>
              <w:bottom w:val="nil"/>
            </w:tcBorders>
          </w:tcPr>
          <w:p w14:paraId="694BD74E" w14:textId="77777777" w:rsidR="009A7572" w:rsidRDefault="00D97831" w:rsidP="009A7572">
            <w:pPr>
              <w:spacing w:before="120" w:after="120"/>
              <w:rPr>
                <w:rFonts w:cs="Arial"/>
                <w:sz w:val="20"/>
                <w:szCs w:val="20"/>
              </w:rPr>
            </w:pPr>
            <w:r>
              <w:rPr>
                <w:rFonts w:cs="Arial"/>
                <w:sz w:val="20"/>
                <w:szCs w:val="20"/>
              </w:rPr>
              <w:t xml:space="preserve">The original procurement route was not revisited as the contracts were originally prior to 2016, however, in 2016, a waiver was actioned for each supplier, which waived CPR’s and established contracts for 2 years </w:t>
            </w:r>
            <w:r w:rsidR="009A7572">
              <w:rPr>
                <w:rFonts w:cs="Arial"/>
                <w:sz w:val="20"/>
                <w:szCs w:val="20"/>
              </w:rPr>
              <w:t>for each of the suppliers contracts.  This resulted in end dates of July 2018.</w:t>
            </w:r>
          </w:p>
          <w:p w14:paraId="7ED09599" w14:textId="473922B7" w:rsidR="009A7572" w:rsidRDefault="009A7572" w:rsidP="009A7572">
            <w:pPr>
              <w:spacing w:before="120" w:after="120"/>
              <w:rPr>
                <w:rFonts w:cs="Arial"/>
                <w:sz w:val="20"/>
                <w:szCs w:val="20"/>
              </w:rPr>
            </w:pPr>
            <w:r>
              <w:rPr>
                <w:rFonts w:cs="Arial"/>
                <w:sz w:val="20"/>
                <w:szCs w:val="20"/>
              </w:rPr>
              <w:t>In regard to BELEC, information from transparency register shows that no further procurement exercise was undertaken and that the contract had been expired and outside the original waiver for 22 months, further the value of expenditure to this supplier had increased significantly since the original estimate.  The current value of the contract based on a 2 year contract would be £104,000 (based on current spend) and for a 4 year contract (since previous waiver) £208,000</w:t>
            </w:r>
          </w:p>
          <w:p w14:paraId="73DC7B92" w14:textId="47819025" w:rsidR="0054566C" w:rsidRDefault="009A7572" w:rsidP="009A7572">
            <w:pPr>
              <w:spacing w:before="120" w:after="120"/>
              <w:rPr>
                <w:rFonts w:cs="Arial"/>
                <w:sz w:val="20"/>
                <w:szCs w:val="20"/>
              </w:rPr>
            </w:pPr>
            <w:r>
              <w:rPr>
                <w:rFonts w:cs="Arial"/>
                <w:sz w:val="20"/>
                <w:szCs w:val="20"/>
              </w:rPr>
              <w:t>In regard to British Gas, whilst there are no further waivers available during the course of the Audit, it appears a further procurement exercise had been undertaken as the contract end date as per the register was March 2020, instead of July 2018.  This is an annual maintenance plan, the estimated value as per the original waiver is £14K (28K for 2 years), however, the overall value as included in the Transparency Register is £32,000 based on a 4 year contract (renewal each year since 2016) the contract value would be £56K and as such should be treated as a medium level procurement exercise.</w:t>
            </w:r>
          </w:p>
        </w:tc>
      </w:tr>
      <w:tr w:rsidR="00A60F22" w:rsidRPr="006A0EC0" w14:paraId="3F1D7784" w14:textId="77777777" w:rsidTr="00D1150E">
        <w:tc>
          <w:tcPr>
            <w:tcW w:w="851" w:type="dxa"/>
            <w:tcBorders>
              <w:top w:val="nil"/>
              <w:bottom w:val="nil"/>
            </w:tcBorders>
          </w:tcPr>
          <w:p w14:paraId="43BE6569" w14:textId="77777777" w:rsidR="00A60F22" w:rsidRPr="00F31D31" w:rsidRDefault="00A60F22" w:rsidP="00D1150E">
            <w:pPr>
              <w:spacing w:before="120" w:after="120"/>
              <w:jc w:val="center"/>
              <w:rPr>
                <w:sz w:val="20"/>
                <w:szCs w:val="20"/>
              </w:rPr>
            </w:pPr>
          </w:p>
        </w:tc>
        <w:tc>
          <w:tcPr>
            <w:tcW w:w="9922" w:type="dxa"/>
            <w:tcBorders>
              <w:top w:val="nil"/>
              <w:bottom w:val="nil"/>
            </w:tcBorders>
          </w:tcPr>
          <w:p w14:paraId="4005F1E3" w14:textId="45BE7682" w:rsidR="00A60F22" w:rsidRDefault="00A60F22" w:rsidP="00A60F22">
            <w:pPr>
              <w:spacing w:before="120" w:after="120"/>
              <w:rPr>
                <w:rFonts w:cs="Arial"/>
                <w:sz w:val="20"/>
                <w:szCs w:val="20"/>
              </w:rPr>
            </w:pPr>
            <w:r>
              <w:rPr>
                <w:rFonts w:cs="Arial"/>
                <w:sz w:val="20"/>
                <w:szCs w:val="20"/>
              </w:rPr>
              <w:t xml:space="preserve">It is clear that the failure to act in regard to these contracts / procurement exercises has resulted in significant failings of governance arrangements.  There has been no action for a significant period by Senior Officers in relation to outstanding procurement issues highlighted on the transparency register.  </w:t>
            </w:r>
          </w:p>
        </w:tc>
      </w:tr>
      <w:tr w:rsidR="009A7572" w:rsidRPr="006A0EC0" w14:paraId="1299A307" w14:textId="77777777" w:rsidTr="00D1150E">
        <w:tc>
          <w:tcPr>
            <w:tcW w:w="851" w:type="dxa"/>
            <w:tcBorders>
              <w:top w:val="nil"/>
              <w:bottom w:val="single" w:sz="4" w:space="0" w:color="auto"/>
            </w:tcBorders>
          </w:tcPr>
          <w:p w14:paraId="2143C9E4" w14:textId="77777777" w:rsidR="009A7572" w:rsidRPr="00F31D31" w:rsidRDefault="009A7572" w:rsidP="00D1150E">
            <w:pPr>
              <w:spacing w:before="120" w:after="120"/>
              <w:jc w:val="center"/>
              <w:rPr>
                <w:sz w:val="20"/>
                <w:szCs w:val="20"/>
              </w:rPr>
            </w:pPr>
          </w:p>
        </w:tc>
        <w:tc>
          <w:tcPr>
            <w:tcW w:w="9922" w:type="dxa"/>
            <w:tcBorders>
              <w:top w:val="nil"/>
              <w:bottom w:val="single" w:sz="4" w:space="0" w:color="auto"/>
            </w:tcBorders>
          </w:tcPr>
          <w:p w14:paraId="40A4F00B" w14:textId="233CFCCE" w:rsidR="009A7572" w:rsidRDefault="00A60F22" w:rsidP="00A60F22">
            <w:pPr>
              <w:spacing w:before="120" w:after="120"/>
              <w:rPr>
                <w:rFonts w:cs="Arial"/>
                <w:sz w:val="20"/>
                <w:szCs w:val="20"/>
              </w:rPr>
            </w:pPr>
            <w:r>
              <w:rPr>
                <w:rFonts w:cs="Arial"/>
                <w:sz w:val="20"/>
                <w:szCs w:val="20"/>
              </w:rPr>
              <w:t>The failure to undertake procurement exercises for these significant values of procurement has resulted in fundamental failings of Contract Procedure Rules and Financial Regulations and in the case of BELEC, the potential breach of European Procurement Rules and the decision making process of the Council in relation to Key decisions.</w:t>
            </w:r>
          </w:p>
        </w:tc>
      </w:tr>
    </w:tbl>
    <w:p w14:paraId="659C0075" w14:textId="23080126" w:rsidR="00060FFB" w:rsidRDefault="00060FFB"/>
    <w:p w14:paraId="49E3C1B5" w14:textId="77777777" w:rsidR="004A16B4" w:rsidRDefault="004A16B4"/>
    <w:p w14:paraId="418B0642" w14:textId="77777777" w:rsidR="004A16B4" w:rsidRDefault="004A16B4"/>
    <w:p w14:paraId="0D7BF316" w14:textId="77777777" w:rsidR="004A16B4" w:rsidRDefault="004A16B4"/>
    <w:p w14:paraId="6729560D" w14:textId="77777777" w:rsidR="004A16B4" w:rsidRDefault="004A16B4"/>
    <w:p w14:paraId="37D7205E" w14:textId="77777777" w:rsidR="004A16B4" w:rsidRDefault="004A16B4"/>
    <w:p w14:paraId="5301825A" w14:textId="77777777" w:rsidR="004A16B4" w:rsidRDefault="004A16B4"/>
    <w:p w14:paraId="7BF2861E" w14:textId="77777777" w:rsidR="004A16B4" w:rsidRDefault="004A16B4"/>
    <w:p w14:paraId="22101B6B" w14:textId="77777777" w:rsidR="004A16B4" w:rsidRDefault="004A16B4"/>
    <w:p w14:paraId="5EF8AEB6" w14:textId="77777777" w:rsidR="004A16B4" w:rsidRDefault="004A16B4"/>
    <w:p w14:paraId="055369F7" w14:textId="77777777" w:rsidR="004A16B4" w:rsidRDefault="004A16B4"/>
    <w:tbl>
      <w:tblPr>
        <w:tblW w:w="1077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060FFB" w:rsidRPr="00D30D54" w14:paraId="6BD3A16E" w14:textId="77777777" w:rsidTr="00D1150E">
        <w:tc>
          <w:tcPr>
            <w:tcW w:w="851" w:type="dxa"/>
            <w:tcBorders>
              <w:bottom w:val="single" w:sz="6" w:space="0" w:color="auto"/>
            </w:tcBorders>
            <w:shd w:val="clear" w:color="auto" w:fill="B8CCE4" w:themeFill="accent1" w:themeFillTint="66"/>
          </w:tcPr>
          <w:p w14:paraId="09988AB2" w14:textId="7D2A4490" w:rsidR="00060FFB" w:rsidRDefault="004A16B4" w:rsidP="00D1150E">
            <w:pPr>
              <w:spacing w:before="120" w:after="120"/>
              <w:jc w:val="center"/>
              <w:rPr>
                <w:b/>
              </w:rPr>
            </w:pPr>
            <w:r>
              <w:rPr>
                <w:b/>
              </w:rPr>
              <w:t>5</w:t>
            </w:r>
          </w:p>
        </w:tc>
        <w:tc>
          <w:tcPr>
            <w:tcW w:w="9922" w:type="dxa"/>
            <w:tcBorders>
              <w:bottom w:val="single" w:sz="6" w:space="0" w:color="auto"/>
            </w:tcBorders>
            <w:shd w:val="clear" w:color="auto" w:fill="B8CCE4" w:themeFill="accent1" w:themeFillTint="66"/>
          </w:tcPr>
          <w:p w14:paraId="3C0D787A" w14:textId="4ADD51EA" w:rsidR="00060FFB" w:rsidRPr="00D30D54" w:rsidRDefault="008F783F" w:rsidP="00D1150E">
            <w:pPr>
              <w:spacing w:before="120" w:after="120"/>
              <w:rPr>
                <w:b/>
              </w:rPr>
            </w:pPr>
            <w:r>
              <w:rPr>
                <w:b/>
              </w:rPr>
              <w:t>CONCLUSION</w:t>
            </w:r>
          </w:p>
        </w:tc>
      </w:tr>
      <w:tr w:rsidR="00060FFB" w:rsidRPr="008F783F" w14:paraId="3C653744" w14:textId="77777777" w:rsidTr="00D1150E">
        <w:tc>
          <w:tcPr>
            <w:tcW w:w="851" w:type="dxa"/>
            <w:tcBorders>
              <w:top w:val="nil"/>
              <w:bottom w:val="nil"/>
            </w:tcBorders>
          </w:tcPr>
          <w:p w14:paraId="30E4F33F" w14:textId="4DC41071" w:rsidR="00060FFB" w:rsidRPr="008F783F" w:rsidRDefault="004A16B4" w:rsidP="000641D0">
            <w:pPr>
              <w:spacing w:before="120" w:after="120"/>
              <w:jc w:val="center"/>
              <w:rPr>
                <w:sz w:val="20"/>
                <w:szCs w:val="20"/>
              </w:rPr>
            </w:pPr>
            <w:r>
              <w:rPr>
                <w:sz w:val="20"/>
                <w:szCs w:val="20"/>
              </w:rPr>
              <w:t>5</w:t>
            </w:r>
            <w:r w:rsidR="00060FFB" w:rsidRPr="008F783F">
              <w:rPr>
                <w:sz w:val="20"/>
                <w:szCs w:val="20"/>
              </w:rPr>
              <w:t>.1</w:t>
            </w:r>
          </w:p>
          <w:p w14:paraId="5A547C25" w14:textId="77777777" w:rsidR="00060FFB" w:rsidRPr="008F783F" w:rsidRDefault="00060FFB" w:rsidP="000641D0">
            <w:pPr>
              <w:spacing w:before="120" w:after="120"/>
              <w:jc w:val="center"/>
              <w:rPr>
                <w:sz w:val="20"/>
                <w:szCs w:val="20"/>
              </w:rPr>
            </w:pPr>
          </w:p>
          <w:p w14:paraId="762B837C" w14:textId="77777777" w:rsidR="00060FFB" w:rsidRPr="008F783F" w:rsidRDefault="00060FFB" w:rsidP="000641D0">
            <w:pPr>
              <w:spacing w:before="120" w:after="120"/>
              <w:jc w:val="center"/>
              <w:rPr>
                <w:sz w:val="20"/>
                <w:szCs w:val="20"/>
              </w:rPr>
            </w:pPr>
          </w:p>
          <w:p w14:paraId="259F970D" w14:textId="41E1974F" w:rsidR="00060FFB" w:rsidRPr="008F783F" w:rsidRDefault="00060FFB" w:rsidP="000641D0">
            <w:pPr>
              <w:spacing w:before="120" w:after="120"/>
              <w:jc w:val="center"/>
              <w:rPr>
                <w:b/>
                <w:sz w:val="20"/>
                <w:szCs w:val="20"/>
              </w:rPr>
            </w:pPr>
          </w:p>
        </w:tc>
        <w:tc>
          <w:tcPr>
            <w:tcW w:w="9922" w:type="dxa"/>
            <w:tcBorders>
              <w:top w:val="nil"/>
              <w:bottom w:val="nil"/>
            </w:tcBorders>
          </w:tcPr>
          <w:p w14:paraId="230971F3" w14:textId="52B228B7" w:rsidR="00060FFB" w:rsidRPr="008F783F" w:rsidRDefault="00060FFB" w:rsidP="00A60F22">
            <w:pPr>
              <w:spacing w:before="120" w:after="120"/>
              <w:jc w:val="both"/>
              <w:rPr>
                <w:rFonts w:cs="Arial"/>
                <w:sz w:val="20"/>
                <w:szCs w:val="20"/>
              </w:rPr>
            </w:pPr>
            <w:r w:rsidRPr="008F783F">
              <w:rPr>
                <w:rFonts w:cs="Arial"/>
                <w:sz w:val="20"/>
                <w:szCs w:val="20"/>
              </w:rPr>
              <w:t xml:space="preserve">In </w:t>
            </w:r>
            <w:r w:rsidRPr="004A16B4">
              <w:rPr>
                <w:rFonts w:cs="Arial"/>
                <w:sz w:val="20"/>
                <w:szCs w:val="20"/>
              </w:rPr>
              <w:t>conclusion,</w:t>
            </w:r>
            <w:r w:rsidRPr="008F783F">
              <w:rPr>
                <w:rFonts w:cs="Arial"/>
                <w:sz w:val="20"/>
                <w:szCs w:val="20"/>
              </w:rPr>
              <w:t xml:space="preserve"> it </w:t>
            </w:r>
            <w:r w:rsidR="00A60F22">
              <w:rPr>
                <w:rFonts w:cs="Arial"/>
                <w:sz w:val="20"/>
                <w:szCs w:val="20"/>
              </w:rPr>
              <w:t xml:space="preserve">is </w:t>
            </w:r>
            <w:r w:rsidRPr="008F783F">
              <w:rPr>
                <w:rFonts w:cs="Arial"/>
                <w:sz w:val="20"/>
                <w:szCs w:val="20"/>
              </w:rPr>
              <w:t xml:space="preserve">evident that the Council’s Contract Procurement Rules had not been adhered to in most, if not all, aspects of the re-letting of the gas and electricity contract(s) and that assurance cannot be </w:t>
            </w:r>
            <w:r w:rsidR="00A60F22">
              <w:rPr>
                <w:rFonts w:cs="Arial"/>
                <w:sz w:val="20"/>
                <w:szCs w:val="20"/>
              </w:rPr>
              <w:t xml:space="preserve">provided </w:t>
            </w:r>
            <w:r w:rsidRPr="008F783F">
              <w:rPr>
                <w:rFonts w:cs="Arial"/>
                <w:sz w:val="20"/>
                <w:szCs w:val="20"/>
              </w:rPr>
              <w:t xml:space="preserve">that best value had been obtained. It </w:t>
            </w:r>
            <w:r w:rsidR="00A60F22">
              <w:rPr>
                <w:rFonts w:cs="Arial"/>
                <w:sz w:val="20"/>
                <w:szCs w:val="20"/>
              </w:rPr>
              <w:t>is</w:t>
            </w:r>
            <w:r w:rsidRPr="008F783F">
              <w:rPr>
                <w:rFonts w:cs="Arial"/>
                <w:sz w:val="20"/>
                <w:szCs w:val="20"/>
              </w:rPr>
              <w:t xml:space="preserve"> also evident that management controls, </w:t>
            </w:r>
            <w:r w:rsidR="00A60F22">
              <w:rPr>
                <w:rFonts w:cs="Arial"/>
                <w:sz w:val="20"/>
                <w:szCs w:val="20"/>
              </w:rPr>
              <w:t>have fundamentally failed</w:t>
            </w:r>
            <w:r w:rsidRPr="008F783F">
              <w:rPr>
                <w:rFonts w:cs="Arial"/>
                <w:sz w:val="20"/>
                <w:szCs w:val="20"/>
              </w:rPr>
              <w:t xml:space="preserve">. From discussions with officers, we understand that these weaknesses are acknowledged and that an initial round of training on the Council’s CPR’s is scheduled for March. Furthermore, the introduction of the Contract Management System at SRBC will act as a central repository of contracts and provide a means of reminding relevant managers when contracts are up for renewal. </w:t>
            </w:r>
          </w:p>
        </w:tc>
      </w:tr>
      <w:tr w:rsidR="008F783F" w:rsidRPr="008F783F" w14:paraId="405C8CEA" w14:textId="77777777" w:rsidTr="008F783F">
        <w:tc>
          <w:tcPr>
            <w:tcW w:w="851" w:type="dxa"/>
            <w:tcBorders>
              <w:top w:val="nil"/>
              <w:bottom w:val="nil"/>
            </w:tcBorders>
          </w:tcPr>
          <w:p w14:paraId="2D0DBB28" w14:textId="04A2F31E" w:rsidR="008F783F" w:rsidRPr="008F783F" w:rsidRDefault="004A16B4" w:rsidP="004A16B4">
            <w:pPr>
              <w:spacing w:before="120" w:after="120"/>
              <w:jc w:val="center"/>
              <w:rPr>
                <w:sz w:val="20"/>
                <w:szCs w:val="20"/>
              </w:rPr>
            </w:pPr>
            <w:r>
              <w:rPr>
                <w:sz w:val="20"/>
                <w:szCs w:val="20"/>
              </w:rPr>
              <w:t>5.2</w:t>
            </w:r>
          </w:p>
        </w:tc>
        <w:tc>
          <w:tcPr>
            <w:tcW w:w="9922" w:type="dxa"/>
            <w:tcBorders>
              <w:top w:val="nil"/>
              <w:bottom w:val="nil"/>
            </w:tcBorders>
          </w:tcPr>
          <w:p w14:paraId="02D1A967" w14:textId="6EB5B12E" w:rsidR="008F783F" w:rsidRPr="008F783F" w:rsidRDefault="00A60F22" w:rsidP="000641D0">
            <w:pPr>
              <w:spacing w:before="120" w:after="120"/>
              <w:jc w:val="both"/>
              <w:rPr>
                <w:rFonts w:cs="Arial"/>
                <w:sz w:val="20"/>
                <w:szCs w:val="20"/>
              </w:rPr>
            </w:pPr>
            <w:r>
              <w:rPr>
                <w:rFonts w:cs="Arial"/>
                <w:sz w:val="20"/>
                <w:szCs w:val="20"/>
              </w:rPr>
              <w:t>However, since the review of utilities has been undertaken the further 2 contracts as outlined above have been identified, this shows an endemic failing in controls and compliance with Council policies and procedures within the service highlighted.  Further work is in progress in relation to analysis of spend and compliance with Council rules, regulations and procedures, this will be further reported to Leadership Team when the results are available.</w:t>
            </w:r>
          </w:p>
        </w:tc>
      </w:tr>
      <w:tr w:rsidR="008F783F" w:rsidRPr="008F783F" w14:paraId="628FFCA0" w14:textId="77777777" w:rsidTr="008F783F">
        <w:tc>
          <w:tcPr>
            <w:tcW w:w="851" w:type="dxa"/>
            <w:tcBorders>
              <w:top w:val="nil"/>
              <w:bottom w:val="single" w:sz="4" w:space="0" w:color="auto"/>
            </w:tcBorders>
          </w:tcPr>
          <w:p w14:paraId="4835BDD0" w14:textId="63263EE8" w:rsidR="008F783F" w:rsidRDefault="004A16B4" w:rsidP="000641D0">
            <w:pPr>
              <w:spacing w:before="120" w:after="120"/>
              <w:jc w:val="center"/>
              <w:rPr>
                <w:sz w:val="20"/>
                <w:szCs w:val="20"/>
              </w:rPr>
            </w:pPr>
            <w:r>
              <w:rPr>
                <w:sz w:val="20"/>
                <w:szCs w:val="20"/>
              </w:rPr>
              <w:t>5.3</w:t>
            </w:r>
          </w:p>
        </w:tc>
        <w:tc>
          <w:tcPr>
            <w:tcW w:w="9922" w:type="dxa"/>
            <w:tcBorders>
              <w:top w:val="nil"/>
              <w:bottom w:val="single" w:sz="4" w:space="0" w:color="auto"/>
            </w:tcBorders>
          </w:tcPr>
          <w:p w14:paraId="70B682A7" w14:textId="77777777" w:rsidR="000E7615" w:rsidRDefault="00A60F22" w:rsidP="000641D0">
            <w:pPr>
              <w:spacing w:before="120" w:after="120"/>
              <w:jc w:val="both"/>
              <w:rPr>
                <w:rFonts w:cs="Arial"/>
                <w:sz w:val="20"/>
                <w:szCs w:val="20"/>
              </w:rPr>
            </w:pPr>
            <w:r>
              <w:rPr>
                <w:rFonts w:cs="Arial"/>
                <w:sz w:val="20"/>
                <w:szCs w:val="20"/>
              </w:rPr>
              <w:t>The findings in this report demonstrate a complete failure of governance arrangements that are in place to protect the Council and its officers from allegation of fraud, impropriety and / or error.  Whilst it is clear that there are adequate procedures in place, there have been fundamental, significant failings in all areas of those rules, regulations</w:t>
            </w:r>
            <w:r w:rsidR="000E7615">
              <w:rPr>
                <w:rFonts w:cs="Arial"/>
                <w:sz w:val="20"/>
                <w:szCs w:val="20"/>
              </w:rPr>
              <w:t>,</w:t>
            </w:r>
            <w:r>
              <w:rPr>
                <w:rFonts w:cs="Arial"/>
                <w:sz w:val="20"/>
                <w:szCs w:val="20"/>
              </w:rPr>
              <w:t xml:space="preserve"> procedures, </w:t>
            </w:r>
            <w:r w:rsidR="000E7615">
              <w:rPr>
                <w:rFonts w:cs="Arial"/>
                <w:sz w:val="20"/>
                <w:szCs w:val="20"/>
              </w:rPr>
              <w:t xml:space="preserve">etc. </w:t>
            </w:r>
          </w:p>
          <w:p w14:paraId="50BFA0FD" w14:textId="24BF431F" w:rsidR="004A16B4" w:rsidRPr="008F783F" w:rsidRDefault="00A60F22" w:rsidP="000641D0">
            <w:pPr>
              <w:spacing w:before="120" w:after="120"/>
              <w:jc w:val="both"/>
              <w:rPr>
                <w:rFonts w:cs="Arial"/>
                <w:sz w:val="20"/>
                <w:szCs w:val="20"/>
              </w:rPr>
            </w:pPr>
            <w:r>
              <w:rPr>
                <w:rFonts w:cs="Arial"/>
                <w:sz w:val="20"/>
                <w:szCs w:val="20"/>
              </w:rPr>
              <w:t xml:space="preserve">relating to these areas of </w:t>
            </w:r>
            <w:r w:rsidR="004A16B4">
              <w:rPr>
                <w:rFonts w:cs="Arial"/>
                <w:sz w:val="20"/>
                <w:szCs w:val="20"/>
              </w:rPr>
              <w:t>procurement. It is Senior Management’s responsibility to ensure governance arrangements outlined by the Council are adhered to and complied with.  That responsibility has not been actioned in this case until after the issues were identified.</w:t>
            </w:r>
          </w:p>
        </w:tc>
      </w:tr>
    </w:tbl>
    <w:p w14:paraId="3BF9520D" w14:textId="08D85A5F" w:rsidR="00A003FE" w:rsidRDefault="00A003FE" w:rsidP="00B13CA7">
      <w:pPr>
        <w:pStyle w:val="Header"/>
        <w:sectPr w:rsidR="00A003FE" w:rsidSect="001A2585">
          <w:headerReference w:type="default" r:id="rId10"/>
          <w:footerReference w:type="first" r:id="rId11"/>
          <w:pgSz w:w="11909" w:h="16834" w:code="9"/>
          <w:pgMar w:top="820" w:right="1152" w:bottom="709" w:left="1152" w:header="619" w:footer="619" w:gutter="0"/>
          <w:paperSrc w:first="7" w:other="7"/>
          <w:cols w:space="720"/>
          <w:docGrid w:linePitch="299"/>
        </w:sectPr>
      </w:pPr>
    </w:p>
    <w:tbl>
      <w:tblPr>
        <w:tblW w:w="15452"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452"/>
      </w:tblGrid>
      <w:tr w:rsidR="00A003FE" w:rsidRPr="00D30D54" w14:paraId="0B6D0750" w14:textId="77777777" w:rsidTr="001531FB">
        <w:tc>
          <w:tcPr>
            <w:tcW w:w="15452" w:type="dxa"/>
            <w:shd w:val="clear" w:color="auto" w:fill="B8CCE4" w:themeFill="accent1" w:themeFillTint="66"/>
          </w:tcPr>
          <w:p w14:paraId="4BCCD0A4" w14:textId="2E4874CD" w:rsidR="00A003FE" w:rsidRPr="00D30D54" w:rsidRDefault="00F146D5" w:rsidP="007D431F">
            <w:pPr>
              <w:jc w:val="center"/>
              <w:rPr>
                <w:b/>
              </w:rPr>
            </w:pPr>
            <w:r>
              <w:rPr>
                <w:b/>
              </w:rPr>
              <w:t>3</w:t>
            </w:r>
            <w:r w:rsidR="00FB4679">
              <w:rPr>
                <w:b/>
              </w:rPr>
              <w:t xml:space="preserve">. </w:t>
            </w:r>
            <w:r w:rsidR="00A003FE" w:rsidRPr="00D30D54">
              <w:rPr>
                <w:b/>
              </w:rPr>
              <w:t>MANAGEMENT ACTION PLAN</w:t>
            </w:r>
          </w:p>
        </w:tc>
      </w:tr>
    </w:tbl>
    <w:p w14:paraId="70BE3278" w14:textId="77777777" w:rsidR="00A003FE" w:rsidRDefault="00A003FE" w:rsidP="00A003FE">
      <w:pPr>
        <w:rPr>
          <w:sz w:val="20"/>
          <w:szCs w:val="20"/>
          <w:lang w:val="en-US"/>
        </w:rPr>
      </w:pPr>
    </w:p>
    <w:tbl>
      <w:tblPr>
        <w:tblW w:w="15520" w:type="dxa"/>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0"/>
        <w:gridCol w:w="5630"/>
        <w:gridCol w:w="3690"/>
        <w:gridCol w:w="3600"/>
        <w:gridCol w:w="1890"/>
      </w:tblGrid>
      <w:tr w:rsidR="002C6B94" w:rsidRPr="00D30D54" w14:paraId="7AE82CEF" w14:textId="77777777" w:rsidTr="00C52256">
        <w:tc>
          <w:tcPr>
            <w:tcW w:w="710" w:type="dxa"/>
            <w:tcBorders>
              <w:top w:val="single" w:sz="6" w:space="0" w:color="auto"/>
              <w:bottom w:val="single" w:sz="4" w:space="0" w:color="auto"/>
              <w:right w:val="nil"/>
            </w:tcBorders>
            <w:shd w:val="clear" w:color="auto" w:fill="B8CCE4" w:themeFill="accent1" w:themeFillTint="66"/>
          </w:tcPr>
          <w:p w14:paraId="4BA31E74" w14:textId="77777777" w:rsidR="002C6B94" w:rsidRPr="00D30D54" w:rsidRDefault="002C6B94" w:rsidP="002C6B94">
            <w:pPr>
              <w:jc w:val="center"/>
              <w:rPr>
                <w:b/>
                <w:sz w:val="20"/>
                <w:szCs w:val="20"/>
                <w:lang w:val="en-US"/>
              </w:rPr>
            </w:pPr>
            <w:r w:rsidRPr="00D30D54">
              <w:rPr>
                <w:b/>
                <w:sz w:val="20"/>
                <w:szCs w:val="20"/>
                <w:lang w:val="en-US"/>
              </w:rPr>
              <w:t>NO.</w:t>
            </w:r>
          </w:p>
        </w:tc>
        <w:tc>
          <w:tcPr>
            <w:tcW w:w="5630" w:type="dxa"/>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4BD42188" w14:textId="77777777" w:rsidR="002C6B94" w:rsidRPr="00D30D54" w:rsidRDefault="002C6B94" w:rsidP="002C6B94">
            <w:pPr>
              <w:jc w:val="center"/>
              <w:rPr>
                <w:b/>
                <w:sz w:val="20"/>
                <w:szCs w:val="20"/>
                <w:lang w:val="en-US"/>
              </w:rPr>
            </w:pPr>
            <w:r>
              <w:rPr>
                <w:b/>
                <w:sz w:val="20"/>
                <w:szCs w:val="20"/>
                <w:lang w:val="en-US"/>
              </w:rPr>
              <w:t>CONTROL ISSUES</w:t>
            </w:r>
            <w:r w:rsidR="00C52256">
              <w:rPr>
                <w:b/>
                <w:sz w:val="20"/>
                <w:szCs w:val="20"/>
                <w:lang w:val="en-US"/>
              </w:rPr>
              <w:t xml:space="preserve"> / RISK</w:t>
            </w:r>
          </w:p>
        </w:tc>
        <w:tc>
          <w:tcPr>
            <w:tcW w:w="3690" w:type="dxa"/>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24172CA2" w14:textId="77777777" w:rsidR="002C6B94" w:rsidRPr="00D30D54" w:rsidRDefault="00C52256" w:rsidP="00C52256">
            <w:pPr>
              <w:jc w:val="center"/>
              <w:rPr>
                <w:b/>
                <w:sz w:val="20"/>
                <w:szCs w:val="20"/>
                <w:lang w:val="en-US"/>
              </w:rPr>
            </w:pPr>
            <w:r>
              <w:rPr>
                <w:b/>
                <w:sz w:val="20"/>
                <w:szCs w:val="20"/>
                <w:lang w:val="en-US"/>
              </w:rPr>
              <w:t>PROPOSED MANAGEMENT ACTIONS</w:t>
            </w:r>
          </w:p>
        </w:tc>
        <w:tc>
          <w:tcPr>
            <w:tcW w:w="3600" w:type="dxa"/>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28180E9B" w14:textId="77777777" w:rsidR="002C6B94" w:rsidRPr="00D30D54" w:rsidRDefault="002C6B94" w:rsidP="002C6B94">
            <w:pPr>
              <w:jc w:val="center"/>
              <w:rPr>
                <w:b/>
                <w:sz w:val="20"/>
                <w:szCs w:val="20"/>
                <w:lang w:val="en-US"/>
              </w:rPr>
            </w:pPr>
            <w:r>
              <w:rPr>
                <w:b/>
                <w:sz w:val="20"/>
                <w:szCs w:val="20"/>
                <w:lang w:val="en-US"/>
              </w:rPr>
              <w:t>AGREED ACTIONS</w:t>
            </w:r>
          </w:p>
        </w:tc>
        <w:tc>
          <w:tcPr>
            <w:tcW w:w="1890" w:type="dxa"/>
            <w:tcBorders>
              <w:top w:val="single" w:sz="6" w:space="0" w:color="auto"/>
              <w:left w:val="nil"/>
              <w:bottom w:val="single" w:sz="4" w:space="0" w:color="auto"/>
              <w:right w:val="single" w:sz="4" w:space="0" w:color="auto"/>
            </w:tcBorders>
            <w:shd w:val="clear" w:color="auto" w:fill="B8CCE4" w:themeFill="accent1" w:themeFillTint="66"/>
          </w:tcPr>
          <w:p w14:paraId="3DF51C49" w14:textId="77777777" w:rsidR="002C6B94" w:rsidRPr="00D30D54" w:rsidRDefault="002C6B94" w:rsidP="002C6B94">
            <w:pPr>
              <w:jc w:val="center"/>
              <w:rPr>
                <w:b/>
                <w:sz w:val="20"/>
                <w:szCs w:val="20"/>
                <w:lang w:val="en-US"/>
              </w:rPr>
            </w:pPr>
            <w:r w:rsidRPr="00D30D54">
              <w:rPr>
                <w:b/>
                <w:sz w:val="20"/>
                <w:szCs w:val="20"/>
                <w:lang w:val="en-US"/>
              </w:rPr>
              <w:t>OFFICER</w:t>
            </w:r>
          </w:p>
          <w:p w14:paraId="7F4AFD66" w14:textId="77777777" w:rsidR="002C6B94" w:rsidRPr="00D30D54" w:rsidRDefault="002C6B94" w:rsidP="002C6B94">
            <w:pPr>
              <w:jc w:val="center"/>
              <w:rPr>
                <w:b/>
                <w:sz w:val="20"/>
                <w:szCs w:val="20"/>
                <w:lang w:val="en-US"/>
              </w:rPr>
            </w:pPr>
            <w:r w:rsidRPr="00D30D54">
              <w:rPr>
                <w:b/>
                <w:sz w:val="20"/>
                <w:szCs w:val="20"/>
                <w:lang w:val="en-US"/>
              </w:rPr>
              <w:t xml:space="preserve"> &amp; DATE</w:t>
            </w:r>
          </w:p>
        </w:tc>
      </w:tr>
      <w:tr w:rsidR="007B1BD3" w:rsidRPr="00FF5A46" w14:paraId="13ED36F5" w14:textId="77777777" w:rsidTr="00106C7D">
        <w:tc>
          <w:tcPr>
            <w:tcW w:w="710" w:type="dxa"/>
            <w:tcBorders>
              <w:top w:val="single" w:sz="4" w:space="0" w:color="auto"/>
              <w:left w:val="single" w:sz="4" w:space="0" w:color="auto"/>
              <w:bottom w:val="single" w:sz="4" w:space="0" w:color="auto"/>
              <w:right w:val="single" w:sz="4" w:space="0" w:color="auto"/>
            </w:tcBorders>
          </w:tcPr>
          <w:p w14:paraId="3083B01F" w14:textId="0E620B8E" w:rsidR="007B1BD3" w:rsidRDefault="007B1BD3" w:rsidP="00CC6B47">
            <w:pPr>
              <w:rPr>
                <w:rFonts w:cs="Arial"/>
                <w:sz w:val="20"/>
                <w:szCs w:val="20"/>
                <w:lang w:val="en-US"/>
              </w:rPr>
            </w:pPr>
            <w:r>
              <w:rPr>
                <w:rFonts w:cs="Arial"/>
                <w:sz w:val="20"/>
                <w:szCs w:val="20"/>
                <w:lang w:val="en-US"/>
              </w:rPr>
              <w:t>1</w:t>
            </w:r>
          </w:p>
        </w:tc>
        <w:tc>
          <w:tcPr>
            <w:tcW w:w="5630" w:type="dxa"/>
            <w:tcBorders>
              <w:top w:val="single" w:sz="4" w:space="0" w:color="auto"/>
              <w:left w:val="single" w:sz="4" w:space="0" w:color="auto"/>
              <w:bottom w:val="single" w:sz="4" w:space="0" w:color="auto"/>
              <w:right w:val="single" w:sz="4" w:space="0" w:color="auto"/>
            </w:tcBorders>
          </w:tcPr>
          <w:p w14:paraId="4352DA0A" w14:textId="77777777" w:rsidR="007B1BD3" w:rsidRDefault="007B1BD3" w:rsidP="00CC6B47">
            <w:pPr>
              <w:jc w:val="both"/>
              <w:rPr>
                <w:sz w:val="20"/>
                <w:szCs w:val="20"/>
              </w:rPr>
            </w:pPr>
            <w:r>
              <w:rPr>
                <w:sz w:val="20"/>
                <w:szCs w:val="20"/>
                <w:u w:val="single"/>
              </w:rPr>
              <w:t>Breaches of Council Rules, Regulations &amp; Procedures</w:t>
            </w:r>
          </w:p>
          <w:p w14:paraId="5C839297" w14:textId="77777777" w:rsidR="007B1BD3" w:rsidRDefault="007B1BD3" w:rsidP="00CC6B47">
            <w:pPr>
              <w:jc w:val="both"/>
              <w:rPr>
                <w:sz w:val="20"/>
                <w:szCs w:val="20"/>
              </w:rPr>
            </w:pPr>
          </w:p>
          <w:p w14:paraId="5301F76F" w14:textId="77777777" w:rsidR="007B1BD3" w:rsidRDefault="007B1BD3" w:rsidP="00CC6B47">
            <w:pPr>
              <w:jc w:val="both"/>
              <w:rPr>
                <w:sz w:val="20"/>
                <w:szCs w:val="20"/>
              </w:rPr>
            </w:pPr>
            <w:r>
              <w:rPr>
                <w:sz w:val="20"/>
                <w:szCs w:val="20"/>
              </w:rPr>
              <w:t>The Council’s rules, regulations and procedures comprise the Council’s Governance Framework, for the Governance of the Council to be effective all rules, regulations procedures etc. must be complied with.  Failure to adhere to and comply with these rules by officers can result in financial, legislative and reputational harm to the Council.</w:t>
            </w:r>
          </w:p>
          <w:p w14:paraId="3EBDD06E" w14:textId="77777777" w:rsidR="007B1BD3" w:rsidRDefault="007B1BD3" w:rsidP="00CC6B47">
            <w:pPr>
              <w:jc w:val="both"/>
              <w:rPr>
                <w:sz w:val="20"/>
                <w:szCs w:val="20"/>
              </w:rPr>
            </w:pPr>
          </w:p>
          <w:p w14:paraId="0EC536E7" w14:textId="77777777" w:rsidR="007B1BD3" w:rsidRDefault="007B1BD3" w:rsidP="00CC6B47">
            <w:pPr>
              <w:jc w:val="both"/>
              <w:rPr>
                <w:sz w:val="20"/>
                <w:szCs w:val="20"/>
              </w:rPr>
            </w:pPr>
            <w:r>
              <w:rPr>
                <w:sz w:val="20"/>
                <w:szCs w:val="20"/>
              </w:rPr>
              <w:t>Management controls are fundamental to the operation of the Governance framework, senior officers must ensure that all officers within their service are aware of and comply with the relevant rules and regulations of the Council.</w:t>
            </w:r>
          </w:p>
          <w:p w14:paraId="3ED7E607" w14:textId="77777777" w:rsidR="007B1BD3" w:rsidRDefault="007B1BD3" w:rsidP="00CC6B47">
            <w:pPr>
              <w:jc w:val="both"/>
              <w:rPr>
                <w:sz w:val="20"/>
                <w:szCs w:val="20"/>
              </w:rPr>
            </w:pPr>
          </w:p>
          <w:p w14:paraId="6F6A0D7C" w14:textId="77777777" w:rsidR="003B3287" w:rsidRDefault="003B3287" w:rsidP="00CC6B47">
            <w:pPr>
              <w:jc w:val="both"/>
              <w:rPr>
                <w:sz w:val="20"/>
                <w:szCs w:val="20"/>
              </w:rPr>
            </w:pPr>
          </w:p>
          <w:p w14:paraId="52945358" w14:textId="77777777" w:rsidR="007B1BD3" w:rsidRDefault="007B1BD3" w:rsidP="00CC6B47">
            <w:pPr>
              <w:jc w:val="both"/>
              <w:rPr>
                <w:sz w:val="20"/>
                <w:szCs w:val="20"/>
              </w:rPr>
            </w:pPr>
            <w:r>
              <w:rPr>
                <w:sz w:val="20"/>
                <w:szCs w:val="20"/>
              </w:rPr>
              <w:t>The failure to adhere to / comply with the relevant rules etc. of the Council could also result in disciplinary action and or financial harm / loss / misappropria</w:t>
            </w:r>
            <w:r w:rsidR="003B3287">
              <w:rPr>
                <w:sz w:val="20"/>
                <w:szCs w:val="20"/>
              </w:rPr>
              <w:t>tion.</w:t>
            </w:r>
          </w:p>
          <w:p w14:paraId="47085B65" w14:textId="0350F2FF" w:rsidR="003B3287" w:rsidRPr="007B1BD3" w:rsidRDefault="003B3287" w:rsidP="00CC6B47">
            <w:pPr>
              <w:jc w:val="both"/>
              <w:rPr>
                <w:sz w:val="20"/>
                <w:szCs w:val="20"/>
              </w:rPr>
            </w:pPr>
          </w:p>
        </w:tc>
        <w:tc>
          <w:tcPr>
            <w:tcW w:w="3690" w:type="dxa"/>
            <w:tcBorders>
              <w:top w:val="single" w:sz="4" w:space="0" w:color="auto"/>
              <w:left w:val="single" w:sz="4" w:space="0" w:color="auto"/>
              <w:bottom w:val="single" w:sz="4" w:space="0" w:color="auto"/>
              <w:right w:val="single" w:sz="4" w:space="0" w:color="auto"/>
            </w:tcBorders>
          </w:tcPr>
          <w:p w14:paraId="319CF61D" w14:textId="77777777" w:rsidR="007B1BD3" w:rsidRDefault="007B1BD3" w:rsidP="00CC6B47">
            <w:pPr>
              <w:jc w:val="both"/>
              <w:rPr>
                <w:sz w:val="20"/>
                <w:szCs w:val="20"/>
              </w:rPr>
            </w:pPr>
          </w:p>
          <w:p w14:paraId="6D9A87C1" w14:textId="77777777" w:rsidR="007B1BD3" w:rsidRDefault="007B1BD3" w:rsidP="00CC6B47">
            <w:pPr>
              <w:jc w:val="both"/>
              <w:rPr>
                <w:sz w:val="20"/>
                <w:szCs w:val="20"/>
              </w:rPr>
            </w:pPr>
          </w:p>
          <w:p w14:paraId="19145E85" w14:textId="764399AB" w:rsidR="007B1BD3" w:rsidRDefault="007B1BD3" w:rsidP="003B3287">
            <w:pPr>
              <w:jc w:val="both"/>
              <w:rPr>
                <w:sz w:val="20"/>
                <w:szCs w:val="20"/>
              </w:rPr>
            </w:pPr>
            <w:r>
              <w:rPr>
                <w:sz w:val="20"/>
                <w:szCs w:val="20"/>
              </w:rPr>
              <w:t xml:space="preserve">All staff </w:t>
            </w:r>
            <w:r w:rsidR="003B3287">
              <w:rPr>
                <w:sz w:val="20"/>
                <w:szCs w:val="20"/>
              </w:rPr>
              <w:t>must be r</w:t>
            </w:r>
            <w:r>
              <w:rPr>
                <w:sz w:val="20"/>
                <w:szCs w:val="20"/>
              </w:rPr>
              <w:t xml:space="preserve">eminded of the requirements to comply with </w:t>
            </w:r>
            <w:r w:rsidR="003B3287">
              <w:rPr>
                <w:sz w:val="20"/>
                <w:szCs w:val="20"/>
              </w:rPr>
              <w:t>all relevant Rules, Regulations and Procedures of the Council.</w:t>
            </w:r>
          </w:p>
          <w:p w14:paraId="2A07ABA7" w14:textId="77777777" w:rsidR="003B3287" w:rsidRDefault="003B3287" w:rsidP="003B3287">
            <w:pPr>
              <w:jc w:val="both"/>
              <w:rPr>
                <w:sz w:val="20"/>
                <w:szCs w:val="20"/>
              </w:rPr>
            </w:pPr>
          </w:p>
          <w:p w14:paraId="5386E57F" w14:textId="77777777" w:rsidR="003B3287" w:rsidRDefault="003B3287" w:rsidP="003B3287">
            <w:pPr>
              <w:jc w:val="both"/>
              <w:rPr>
                <w:sz w:val="20"/>
                <w:szCs w:val="20"/>
              </w:rPr>
            </w:pPr>
          </w:p>
          <w:p w14:paraId="791F1034" w14:textId="77777777" w:rsidR="003B3287" w:rsidRDefault="003B3287" w:rsidP="003B3287">
            <w:pPr>
              <w:jc w:val="both"/>
              <w:rPr>
                <w:sz w:val="20"/>
                <w:szCs w:val="20"/>
              </w:rPr>
            </w:pPr>
          </w:p>
          <w:p w14:paraId="37BD8E48" w14:textId="735A6F3B" w:rsidR="003B3287" w:rsidRDefault="003B3287" w:rsidP="003B3287">
            <w:pPr>
              <w:jc w:val="both"/>
              <w:rPr>
                <w:sz w:val="20"/>
                <w:szCs w:val="20"/>
              </w:rPr>
            </w:pPr>
            <w:r>
              <w:rPr>
                <w:sz w:val="20"/>
                <w:szCs w:val="20"/>
              </w:rPr>
              <w:t xml:space="preserve">Senior Officers must ensure that all officers within their service area are aware of individuals responsibilities in respect of the Council’s governance framework and that all rules, regulations, policies etc. that comprise that framework are adhered to / complied with. </w:t>
            </w:r>
          </w:p>
          <w:p w14:paraId="26A70C22" w14:textId="578B60FB" w:rsidR="003B3287" w:rsidRDefault="003B3287" w:rsidP="003B3287">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189310A" w14:textId="77777777" w:rsidR="007B1BD3" w:rsidRPr="00FF5A46" w:rsidRDefault="007B1BD3" w:rsidP="00CC6B47">
            <w:pPr>
              <w:rPr>
                <w:rFonts w:cs="Arial"/>
                <w:b/>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372B51C8" w14:textId="77777777" w:rsidR="007B1BD3" w:rsidRPr="001451F6" w:rsidRDefault="007B1BD3" w:rsidP="00CC6B47">
            <w:pPr>
              <w:rPr>
                <w:rFonts w:cs="Arial"/>
                <w:lang w:val="en-US"/>
              </w:rPr>
            </w:pPr>
          </w:p>
        </w:tc>
      </w:tr>
      <w:tr w:rsidR="00CC6B47" w:rsidRPr="00FF5A46" w14:paraId="13B6E048" w14:textId="77777777" w:rsidTr="00106C7D">
        <w:tc>
          <w:tcPr>
            <w:tcW w:w="710" w:type="dxa"/>
            <w:tcBorders>
              <w:top w:val="single" w:sz="4" w:space="0" w:color="auto"/>
              <w:left w:val="single" w:sz="4" w:space="0" w:color="auto"/>
              <w:bottom w:val="single" w:sz="4" w:space="0" w:color="auto"/>
              <w:right w:val="single" w:sz="4" w:space="0" w:color="auto"/>
            </w:tcBorders>
          </w:tcPr>
          <w:p w14:paraId="3810C8D5" w14:textId="6274630A" w:rsidR="00CC6B47" w:rsidRPr="00FF5A46" w:rsidRDefault="000E7615" w:rsidP="00CC6B47">
            <w:pPr>
              <w:rPr>
                <w:rFonts w:cs="Arial"/>
                <w:sz w:val="20"/>
                <w:szCs w:val="20"/>
                <w:lang w:val="en-US"/>
              </w:rPr>
            </w:pPr>
            <w:r>
              <w:rPr>
                <w:rFonts w:cs="Arial"/>
                <w:sz w:val="20"/>
                <w:szCs w:val="20"/>
                <w:lang w:val="en-US"/>
              </w:rPr>
              <w:t>2</w:t>
            </w:r>
          </w:p>
        </w:tc>
        <w:tc>
          <w:tcPr>
            <w:tcW w:w="5630" w:type="dxa"/>
            <w:tcBorders>
              <w:top w:val="single" w:sz="4" w:space="0" w:color="auto"/>
              <w:left w:val="single" w:sz="4" w:space="0" w:color="auto"/>
              <w:bottom w:val="single" w:sz="4" w:space="0" w:color="auto"/>
              <w:right w:val="single" w:sz="4" w:space="0" w:color="auto"/>
            </w:tcBorders>
          </w:tcPr>
          <w:p w14:paraId="56933241" w14:textId="2BAEFA83" w:rsidR="00CC6B47" w:rsidRDefault="00CC6B47" w:rsidP="00CC6B47">
            <w:pPr>
              <w:jc w:val="both"/>
              <w:rPr>
                <w:sz w:val="20"/>
                <w:szCs w:val="20"/>
                <w:u w:val="single"/>
              </w:rPr>
            </w:pPr>
            <w:r>
              <w:rPr>
                <w:sz w:val="20"/>
                <w:szCs w:val="20"/>
                <w:u w:val="single"/>
              </w:rPr>
              <w:t>Officer Induction Training</w:t>
            </w:r>
          </w:p>
          <w:p w14:paraId="44414262" w14:textId="77777777" w:rsidR="00CC6B47" w:rsidRDefault="00CC6B47" w:rsidP="00CC6B47">
            <w:pPr>
              <w:jc w:val="both"/>
              <w:rPr>
                <w:sz w:val="20"/>
                <w:szCs w:val="20"/>
                <w:u w:val="single"/>
              </w:rPr>
            </w:pPr>
          </w:p>
          <w:p w14:paraId="0CCD15D4" w14:textId="67FBDC59" w:rsidR="00CC6B47" w:rsidRPr="00092109" w:rsidRDefault="00CC6B47" w:rsidP="00CC6B47">
            <w:pPr>
              <w:jc w:val="both"/>
              <w:rPr>
                <w:sz w:val="20"/>
                <w:szCs w:val="20"/>
              </w:rPr>
            </w:pPr>
            <w:r w:rsidRPr="00092109">
              <w:rPr>
                <w:sz w:val="20"/>
                <w:szCs w:val="20"/>
              </w:rPr>
              <w:t>Effective induction training</w:t>
            </w:r>
            <w:r>
              <w:rPr>
                <w:sz w:val="20"/>
                <w:szCs w:val="20"/>
              </w:rPr>
              <w:t xml:space="preserve"> </w:t>
            </w:r>
            <w:r w:rsidRPr="00092109">
              <w:rPr>
                <w:sz w:val="20"/>
                <w:szCs w:val="20"/>
              </w:rPr>
              <w:t>is a fundamental tool in supporting an individual in acclimatising to the technical aspects of the position and also in providing them with guidance in respect of the governance framework and ethical expectations of the role.</w:t>
            </w:r>
          </w:p>
          <w:p w14:paraId="32CB23C2" w14:textId="77777777" w:rsidR="00CC6B47" w:rsidRPr="00092109" w:rsidRDefault="00CC6B47" w:rsidP="00CC6B47">
            <w:pPr>
              <w:jc w:val="both"/>
              <w:rPr>
                <w:sz w:val="20"/>
                <w:szCs w:val="20"/>
              </w:rPr>
            </w:pPr>
          </w:p>
          <w:p w14:paraId="362796BB" w14:textId="0566EB21" w:rsidR="00CC6B47" w:rsidRDefault="00CC6B47" w:rsidP="00CC6B47">
            <w:pPr>
              <w:jc w:val="both"/>
              <w:rPr>
                <w:sz w:val="20"/>
                <w:szCs w:val="20"/>
              </w:rPr>
            </w:pPr>
            <w:r>
              <w:rPr>
                <w:sz w:val="20"/>
                <w:szCs w:val="20"/>
              </w:rPr>
              <w:t>As part of the recent audit of Ethical Culture, a</w:t>
            </w:r>
            <w:r w:rsidRPr="00092109">
              <w:rPr>
                <w:sz w:val="20"/>
                <w:szCs w:val="20"/>
              </w:rPr>
              <w:t>udit confirmed that a formal process is in place in respect of officers that includes an Induction Policy, Welcome Booklet and checklists for both line managers and the new recruit. Included within the induction is reference to the Council’s vision, priorities and values, and also to the Employee Code of Conduct, with the latter being sent to the officer prior to his / her starting date.</w:t>
            </w:r>
            <w:r>
              <w:rPr>
                <w:sz w:val="20"/>
                <w:szCs w:val="20"/>
              </w:rPr>
              <w:t xml:space="preserve"> However, given the issues identified within this review, the extent to which the induction material satisfactorily covers adherence to the Council’s Contract Procurement Rules should be reviewed.</w:t>
            </w:r>
          </w:p>
          <w:p w14:paraId="58570F1A" w14:textId="1EEB488A" w:rsidR="00CC6B47" w:rsidRDefault="00CC6B47" w:rsidP="00CC6B47">
            <w:pPr>
              <w:jc w:val="both"/>
              <w:rPr>
                <w:sz w:val="20"/>
                <w:szCs w:val="20"/>
              </w:rPr>
            </w:pPr>
          </w:p>
          <w:p w14:paraId="434AA5C8" w14:textId="21607C4C" w:rsidR="00CC6B47" w:rsidRPr="00092109" w:rsidRDefault="00CC6B47" w:rsidP="00CC6B47">
            <w:pPr>
              <w:jc w:val="both"/>
              <w:rPr>
                <w:sz w:val="20"/>
                <w:szCs w:val="20"/>
              </w:rPr>
            </w:pPr>
            <w:r w:rsidRPr="00092109">
              <w:rPr>
                <w:sz w:val="20"/>
                <w:szCs w:val="20"/>
              </w:rPr>
              <w:t>There is a risk that where</w:t>
            </w:r>
            <w:r>
              <w:rPr>
                <w:sz w:val="20"/>
                <w:szCs w:val="20"/>
              </w:rPr>
              <w:t xml:space="preserve"> the </w:t>
            </w:r>
            <w:r w:rsidRPr="00092109">
              <w:rPr>
                <w:sz w:val="20"/>
                <w:szCs w:val="20"/>
              </w:rPr>
              <w:t>induction programme</w:t>
            </w:r>
            <w:r>
              <w:rPr>
                <w:sz w:val="20"/>
                <w:szCs w:val="20"/>
              </w:rPr>
              <w:t xml:space="preserve"> fails to address key aspects of an officers duties with the Council, </w:t>
            </w:r>
            <w:r w:rsidRPr="00092109">
              <w:rPr>
                <w:sz w:val="20"/>
                <w:szCs w:val="20"/>
              </w:rPr>
              <w:t xml:space="preserve">this will impact on the effectiveness of the governance framework. </w:t>
            </w:r>
          </w:p>
          <w:p w14:paraId="320CB5B0" w14:textId="5C2BA2CD" w:rsidR="00CC6B47" w:rsidRPr="00FF5A46" w:rsidRDefault="00CC6B47" w:rsidP="00CC6B47">
            <w:pPr>
              <w:jc w:val="both"/>
              <w:rPr>
                <w:rFonts w:cs="Arial"/>
                <w:sz w:val="20"/>
                <w:szCs w:val="20"/>
                <w:lang w:val="en-US"/>
              </w:rPr>
            </w:pPr>
          </w:p>
        </w:tc>
        <w:tc>
          <w:tcPr>
            <w:tcW w:w="3690" w:type="dxa"/>
            <w:tcBorders>
              <w:top w:val="single" w:sz="4" w:space="0" w:color="auto"/>
              <w:left w:val="single" w:sz="4" w:space="0" w:color="auto"/>
              <w:bottom w:val="single" w:sz="4" w:space="0" w:color="auto"/>
              <w:right w:val="single" w:sz="4" w:space="0" w:color="auto"/>
            </w:tcBorders>
          </w:tcPr>
          <w:p w14:paraId="1F4E3634" w14:textId="77777777" w:rsidR="003B3287" w:rsidRDefault="003B3287" w:rsidP="00CC6B47">
            <w:pPr>
              <w:jc w:val="both"/>
              <w:rPr>
                <w:sz w:val="20"/>
                <w:szCs w:val="20"/>
              </w:rPr>
            </w:pPr>
          </w:p>
          <w:p w14:paraId="16823D90" w14:textId="77777777" w:rsidR="003B3287" w:rsidRDefault="003B3287" w:rsidP="00CC6B47">
            <w:pPr>
              <w:jc w:val="both"/>
              <w:rPr>
                <w:sz w:val="20"/>
                <w:szCs w:val="20"/>
              </w:rPr>
            </w:pPr>
          </w:p>
          <w:p w14:paraId="003F9B37" w14:textId="2D2D0C58" w:rsidR="00CC6B47" w:rsidRPr="00FF5A46" w:rsidRDefault="00BB2D6B" w:rsidP="00CC6B47">
            <w:pPr>
              <w:jc w:val="both"/>
              <w:rPr>
                <w:rFonts w:cs="Arial"/>
                <w:b/>
                <w:sz w:val="20"/>
                <w:szCs w:val="20"/>
                <w:lang w:val="en-US"/>
              </w:rPr>
            </w:pPr>
            <w:r>
              <w:rPr>
                <w:sz w:val="20"/>
                <w:szCs w:val="20"/>
              </w:rPr>
              <w:t>As a consequence of the issues identified within this review, the extent to which the induction material for officers, particularly those in relevant posts, satisfactorily covers adherence to the Council’s Contract Procurement Rules should be reviewed.</w:t>
            </w:r>
          </w:p>
        </w:tc>
        <w:tc>
          <w:tcPr>
            <w:tcW w:w="3600" w:type="dxa"/>
            <w:tcBorders>
              <w:top w:val="single" w:sz="4" w:space="0" w:color="auto"/>
              <w:left w:val="single" w:sz="4" w:space="0" w:color="auto"/>
              <w:bottom w:val="single" w:sz="4" w:space="0" w:color="auto"/>
              <w:right w:val="single" w:sz="4" w:space="0" w:color="auto"/>
            </w:tcBorders>
          </w:tcPr>
          <w:p w14:paraId="23323D9C" w14:textId="77777777" w:rsidR="00CC6B47" w:rsidRPr="00FF5A46" w:rsidRDefault="00CC6B47" w:rsidP="00CC6B47">
            <w:pPr>
              <w:rPr>
                <w:rFonts w:cs="Arial"/>
                <w:b/>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59725F17" w14:textId="2CB5B603" w:rsidR="00CC6B47" w:rsidRPr="001451F6" w:rsidRDefault="00CC6B47" w:rsidP="00CC6B47">
            <w:pPr>
              <w:rPr>
                <w:rFonts w:cs="Arial"/>
                <w:lang w:val="en-US"/>
              </w:rPr>
            </w:pPr>
          </w:p>
        </w:tc>
      </w:tr>
      <w:tr w:rsidR="003F3580" w:rsidRPr="00066828" w14:paraId="6C70DA92" w14:textId="77777777" w:rsidTr="00106C7D">
        <w:tc>
          <w:tcPr>
            <w:tcW w:w="710" w:type="dxa"/>
            <w:tcBorders>
              <w:top w:val="single" w:sz="4" w:space="0" w:color="auto"/>
              <w:left w:val="single" w:sz="4" w:space="0" w:color="auto"/>
              <w:bottom w:val="single" w:sz="4" w:space="0" w:color="auto"/>
              <w:right w:val="single" w:sz="4" w:space="0" w:color="auto"/>
            </w:tcBorders>
          </w:tcPr>
          <w:p w14:paraId="69C6E559" w14:textId="29AA9F02" w:rsidR="003F3580" w:rsidRPr="00066828" w:rsidRDefault="000E7615" w:rsidP="003F3580">
            <w:pPr>
              <w:jc w:val="both"/>
              <w:rPr>
                <w:rFonts w:cs="Arial"/>
                <w:sz w:val="20"/>
                <w:szCs w:val="20"/>
                <w:lang w:val="en-US"/>
              </w:rPr>
            </w:pPr>
            <w:r>
              <w:rPr>
                <w:rFonts w:cs="Arial"/>
                <w:sz w:val="20"/>
                <w:szCs w:val="20"/>
                <w:lang w:val="en-US"/>
              </w:rPr>
              <w:t>3</w:t>
            </w:r>
          </w:p>
        </w:tc>
        <w:tc>
          <w:tcPr>
            <w:tcW w:w="5630" w:type="dxa"/>
            <w:tcBorders>
              <w:top w:val="single" w:sz="4" w:space="0" w:color="auto"/>
              <w:left w:val="single" w:sz="4" w:space="0" w:color="auto"/>
              <w:bottom w:val="single" w:sz="4" w:space="0" w:color="auto"/>
              <w:right w:val="single" w:sz="4" w:space="0" w:color="auto"/>
            </w:tcBorders>
          </w:tcPr>
          <w:p w14:paraId="234E4420" w14:textId="4041C5F3" w:rsidR="003F3580" w:rsidRPr="00776E2A" w:rsidRDefault="003F3580" w:rsidP="003F3580">
            <w:pPr>
              <w:jc w:val="both"/>
              <w:rPr>
                <w:sz w:val="20"/>
                <w:szCs w:val="20"/>
                <w:u w:val="single"/>
              </w:rPr>
            </w:pPr>
            <w:r w:rsidRPr="00776E2A">
              <w:rPr>
                <w:sz w:val="20"/>
                <w:szCs w:val="20"/>
                <w:u w:val="single"/>
              </w:rPr>
              <w:t>Officer Training</w:t>
            </w:r>
            <w:r w:rsidR="00776E2A" w:rsidRPr="00776E2A">
              <w:rPr>
                <w:sz w:val="20"/>
                <w:szCs w:val="20"/>
                <w:u w:val="single"/>
              </w:rPr>
              <w:t xml:space="preserve"> &amp; Support</w:t>
            </w:r>
          </w:p>
          <w:p w14:paraId="0C985113" w14:textId="77777777" w:rsidR="003F3580" w:rsidRPr="00776E2A" w:rsidRDefault="003F3580" w:rsidP="003F3580">
            <w:pPr>
              <w:jc w:val="both"/>
              <w:rPr>
                <w:sz w:val="20"/>
                <w:szCs w:val="20"/>
              </w:rPr>
            </w:pPr>
          </w:p>
          <w:p w14:paraId="4A6B0A63" w14:textId="2F4559E1" w:rsidR="003F3580" w:rsidRPr="00776E2A" w:rsidRDefault="003F3580" w:rsidP="003F3580">
            <w:pPr>
              <w:jc w:val="both"/>
              <w:rPr>
                <w:sz w:val="20"/>
                <w:szCs w:val="20"/>
              </w:rPr>
            </w:pPr>
            <w:r w:rsidRPr="00776E2A">
              <w:rPr>
                <w:sz w:val="20"/>
                <w:szCs w:val="20"/>
              </w:rPr>
              <w:t>Ongoing training provides Officers with the necessary tools to fulfil their duties, both from a technical perspective and with regards the ethical expectations placed on</w:t>
            </w:r>
            <w:r w:rsidR="008C4116" w:rsidRPr="00776E2A">
              <w:rPr>
                <w:sz w:val="20"/>
                <w:szCs w:val="20"/>
              </w:rPr>
              <w:t xml:space="preserve"> them</w:t>
            </w:r>
            <w:r w:rsidRPr="00776E2A">
              <w:rPr>
                <w:sz w:val="20"/>
                <w:szCs w:val="20"/>
              </w:rPr>
              <w:t xml:space="preserve">. </w:t>
            </w:r>
          </w:p>
          <w:p w14:paraId="077A528F" w14:textId="77777777" w:rsidR="003F3580" w:rsidRPr="00776E2A" w:rsidRDefault="003F3580" w:rsidP="003F3580">
            <w:pPr>
              <w:jc w:val="both"/>
              <w:rPr>
                <w:sz w:val="20"/>
                <w:szCs w:val="20"/>
              </w:rPr>
            </w:pPr>
            <w:r w:rsidRPr="00776E2A">
              <w:rPr>
                <w:sz w:val="20"/>
                <w:szCs w:val="20"/>
              </w:rPr>
              <w:t xml:space="preserve"> </w:t>
            </w:r>
          </w:p>
          <w:p w14:paraId="7ABDDC36" w14:textId="46A9AFCA" w:rsidR="003F3580" w:rsidRPr="00776E2A" w:rsidRDefault="00776E2A" w:rsidP="003F3580">
            <w:pPr>
              <w:jc w:val="both"/>
              <w:rPr>
                <w:b/>
                <w:i/>
                <w:sz w:val="20"/>
                <w:szCs w:val="20"/>
              </w:rPr>
            </w:pPr>
            <w:r w:rsidRPr="00776E2A">
              <w:rPr>
                <w:sz w:val="20"/>
                <w:szCs w:val="20"/>
              </w:rPr>
              <w:t>As part of the recent audit of Ethical Culture, f</w:t>
            </w:r>
            <w:r w:rsidR="003F3580" w:rsidRPr="00776E2A">
              <w:rPr>
                <w:sz w:val="20"/>
                <w:szCs w:val="20"/>
              </w:rPr>
              <w:t xml:space="preserve">rom discussions with officers and review of available documentation, it was acknowledged that whilst training, particularly in respect of the ethical culture of the organisation, has been provided to members in the past 12 months, that in respect of officers has, to some extent, been neglected. Whilst online solutions have previously been used as a vehicle for delivering training, audit understands that this had its shortcomings and the contract with the previous supplier has now expired. It was acknowledged that there was still much work to do with regards establishing a revised mandatory training framework and how it was to be delivered, possibly including future joint arrangements with Chorley Council. </w:t>
            </w:r>
          </w:p>
          <w:p w14:paraId="60B60085" w14:textId="77777777" w:rsidR="003F3580" w:rsidRPr="00776E2A" w:rsidRDefault="003F3580" w:rsidP="003F3580">
            <w:pPr>
              <w:jc w:val="both"/>
              <w:rPr>
                <w:sz w:val="20"/>
                <w:szCs w:val="20"/>
              </w:rPr>
            </w:pPr>
          </w:p>
          <w:p w14:paraId="674AEDE5" w14:textId="3D2CBD32" w:rsidR="00776E2A" w:rsidRPr="00776E2A" w:rsidRDefault="00776E2A" w:rsidP="00776E2A">
            <w:pPr>
              <w:spacing w:after="120" w:line="259" w:lineRule="auto"/>
              <w:jc w:val="both"/>
              <w:rPr>
                <w:rFonts w:cs="Arial"/>
                <w:sz w:val="20"/>
                <w:szCs w:val="20"/>
              </w:rPr>
            </w:pPr>
            <w:r w:rsidRPr="00776E2A">
              <w:rPr>
                <w:rFonts w:cs="Arial"/>
                <w:sz w:val="20"/>
                <w:szCs w:val="20"/>
              </w:rPr>
              <w:t>As noted in this review, a key element to many of the issues raised in respect of the re-letting of the gas and electricity contract was the little, if any, support that was provided to the Facilities Manager with regards the correct procurement route to follow. The Facilities Manager had received no training (induction nor ongoing) with regards the Council’s Contract Procurement Rules and was largely left to manage the process. Furthermore, the Facilities Manager acknowledges that he did not request advice / support from the Council’s Procurement Team.</w:t>
            </w:r>
          </w:p>
          <w:p w14:paraId="7862FB28" w14:textId="5BFCB4BF" w:rsidR="00776E2A" w:rsidRPr="00776E2A" w:rsidRDefault="00776E2A" w:rsidP="00776E2A">
            <w:pPr>
              <w:spacing w:after="120" w:line="259" w:lineRule="auto"/>
              <w:jc w:val="both"/>
              <w:rPr>
                <w:rFonts w:cs="Arial"/>
                <w:sz w:val="20"/>
                <w:szCs w:val="20"/>
              </w:rPr>
            </w:pPr>
            <w:r w:rsidRPr="00776E2A">
              <w:rPr>
                <w:rFonts w:cs="Arial"/>
                <w:sz w:val="20"/>
                <w:szCs w:val="20"/>
              </w:rPr>
              <w:t>Audit understands that these weaknesses are acknowledged and that an initial round of training on the Council’s CPR’s is scheduled for March.</w:t>
            </w:r>
          </w:p>
          <w:p w14:paraId="413EE6BA" w14:textId="1ED64887" w:rsidR="003F3580" w:rsidRPr="00776E2A" w:rsidRDefault="003F3580" w:rsidP="003F3580">
            <w:pPr>
              <w:jc w:val="both"/>
              <w:rPr>
                <w:sz w:val="20"/>
                <w:szCs w:val="20"/>
              </w:rPr>
            </w:pPr>
            <w:r w:rsidRPr="00776E2A">
              <w:rPr>
                <w:sz w:val="20"/>
                <w:szCs w:val="20"/>
              </w:rPr>
              <w:t>There is a risk that officers are not provided with the requisite training</w:t>
            </w:r>
            <w:r w:rsidR="00776E2A">
              <w:rPr>
                <w:sz w:val="20"/>
                <w:szCs w:val="20"/>
              </w:rPr>
              <w:t xml:space="preserve"> and support</w:t>
            </w:r>
            <w:r w:rsidRPr="00776E2A">
              <w:rPr>
                <w:sz w:val="20"/>
                <w:szCs w:val="20"/>
              </w:rPr>
              <w:t xml:space="preserve"> to fulfil their role. </w:t>
            </w:r>
          </w:p>
          <w:p w14:paraId="5BF3ECC6" w14:textId="1EF302B7" w:rsidR="003F3580" w:rsidRPr="00776E2A" w:rsidRDefault="003F3580" w:rsidP="003F3580">
            <w:pPr>
              <w:jc w:val="both"/>
              <w:rPr>
                <w:rFonts w:cs="Arial"/>
                <w:sz w:val="20"/>
                <w:szCs w:val="20"/>
                <w:lang w:val="en-US"/>
              </w:rPr>
            </w:pPr>
          </w:p>
        </w:tc>
        <w:tc>
          <w:tcPr>
            <w:tcW w:w="3690" w:type="dxa"/>
            <w:tcBorders>
              <w:top w:val="single" w:sz="4" w:space="0" w:color="auto"/>
              <w:left w:val="single" w:sz="4" w:space="0" w:color="auto"/>
              <w:bottom w:val="single" w:sz="4" w:space="0" w:color="auto"/>
              <w:right w:val="single" w:sz="4" w:space="0" w:color="auto"/>
            </w:tcBorders>
          </w:tcPr>
          <w:p w14:paraId="1D807A88" w14:textId="77777777" w:rsidR="003B3287" w:rsidRDefault="003B3287" w:rsidP="003F3580">
            <w:pPr>
              <w:jc w:val="both"/>
              <w:rPr>
                <w:sz w:val="20"/>
                <w:szCs w:val="20"/>
              </w:rPr>
            </w:pPr>
          </w:p>
          <w:p w14:paraId="64E9763E" w14:textId="77777777" w:rsidR="003B3287" w:rsidRDefault="003B3287" w:rsidP="003F3580">
            <w:pPr>
              <w:jc w:val="both"/>
              <w:rPr>
                <w:sz w:val="20"/>
                <w:szCs w:val="20"/>
              </w:rPr>
            </w:pPr>
          </w:p>
          <w:p w14:paraId="7E443648" w14:textId="77777777" w:rsidR="003F3580" w:rsidRDefault="003F3580" w:rsidP="003F3580">
            <w:pPr>
              <w:jc w:val="both"/>
              <w:rPr>
                <w:sz w:val="20"/>
                <w:szCs w:val="20"/>
              </w:rPr>
            </w:pPr>
            <w:r w:rsidRPr="007861B3">
              <w:rPr>
                <w:sz w:val="20"/>
                <w:szCs w:val="20"/>
              </w:rPr>
              <w:t>The Council should establish a mandatory training framework for officers, including the methodology for conveying the ethical culture of the organisation.</w:t>
            </w:r>
          </w:p>
          <w:p w14:paraId="4435C272" w14:textId="77777777" w:rsidR="00776E2A" w:rsidRDefault="00776E2A" w:rsidP="003F3580">
            <w:pPr>
              <w:jc w:val="both"/>
              <w:rPr>
                <w:sz w:val="20"/>
                <w:szCs w:val="20"/>
              </w:rPr>
            </w:pPr>
          </w:p>
          <w:p w14:paraId="506A95A5" w14:textId="77777777" w:rsidR="00776E2A" w:rsidRDefault="00776E2A" w:rsidP="003F3580">
            <w:pPr>
              <w:jc w:val="both"/>
              <w:rPr>
                <w:sz w:val="20"/>
                <w:szCs w:val="20"/>
              </w:rPr>
            </w:pPr>
            <w:r>
              <w:rPr>
                <w:sz w:val="20"/>
                <w:szCs w:val="20"/>
              </w:rPr>
              <w:t>Following the procurement training in March, consideration should be given to extending the training to other / new officers.</w:t>
            </w:r>
          </w:p>
          <w:p w14:paraId="0A394F7F" w14:textId="77777777" w:rsidR="00776E2A" w:rsidRDefault="00776E2A" w:rsidP="003F3580">
            <w:pPr>
              <w:jc w:val="both"/>
              <w:rPr>
                <w:sz w:val="20"/>
                <w:szCs w:val="20"/>
              </w:rPr>
            </w:pPr>
          </w:p>
          <w:p w14:paraId="219B3972" w14:textId="5DDF551A" w:rsidR="00776E2A" w:rsidRPr="00066828" w:rsidRDefault="00776E2A" w:rsidP="003F3580">
            <w:pPr>
              <w:jc w:val="both"/>
              <w:rPr>
                <w:rFonts w:cs="Arial"/>
                <w:b/>
                <w:sz w:val="20"/>
                <w:szCs w:val="20"/>
                <w:lang w:val="en-US"/>
              </w:rPr>
            </w:pPr>
            <w:r>
              <w:rPr>
                <w:sz w:val="20"/>
                <w:szCs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5AF7914B" w14:textId="77777777" w:rsidR="003F3580" w:rsidRPr="00066828" w:rsidRDefault="003F3580" w:rsidP="003F3580">
            <w:pPr>
              <w:jc w:val="both"/>
              <w:rPr>
                <w:rFonts w:cs="Arial"/>
                <w:b/>
                <w:sz w:val="20"/>
                <w:szCs w:val="20"/>
                <w:highlight w:val="yellow"/>
                <w:lang w:val="en-US"/>
              </w:rPr>
            </w:pPr>
          </w:p>
        </w:tc>
        <w:tc>
          <w:tcPr>
            <w:tcW w:w="1890" w:type="dxa"/>
            <w:tcBorders>
              <w:top w:val="single" w:sz="4" w:space="0" w:color="auto"/>
              <w:left w:val="single" w:sz="4" w:space="0" w:color="auto"/>
              <w:bottom w:val="single" w:sz="4" w:space="0" w:color="auto"/>
              <w:right w:val="single" w:sz="4" w:space="0" w:color="auto"/>
            </w:tcBorders>
          </w:tcPr>
          <w:p w14:paraId="668DE401" w14:textId="74B01A1F" w:rsidR="003F3580" w:rsidRPr="00005774" w:rsidRDefault="003F3580" w:rsidP="003F3580">
            <w:pPr>
              <w:jc w:val="both"/>
              <w:rPr>
                <w:rFonts w:cs="Arial"/>
                <w:lang w:val="en-US"/>
              </w:rPr>
            </w:pPr>
          </w:p>
        </w:tc>
      </w:tr>
    </w:tbl>
    <w:p w14:paraId="68613C48" w14:textId="77777777" w:rsidR="00870F9F" w:rsidRPr="004D63B9" w:rsidRDefault="00870F9F">
      <w:pPr>
        <w:rPr>
          <w:rFonts w:cs="Arial"/>
          <w:sz w:val="20"/>
          <w:szCs w:val="20"/>
        </w:rPr>
      </w:pPr>
    </w:p>
    <w:p w14:paraId="755271CA" w14:textId="77777777" w:rsidR="00A003FE" w:rsidRPr="004D63B9" w:rsidRDefault="00A003FE" w:rsidP="00A003FE">
      <w:pPr>
        <w:jc w:val="center"/>
        <w:rPr>
          <w:rFonts w:cs="Arial"/>
          <w:b/>
          <w:sz w:val="20"/>
          <w:szCs w:val="20"/>
        </w:rPr>
      </w:pPr>
    </w:p>
    <w:p w14:paraId="76E45834" w14:textId="77777777" w:rsidR="00A003FE" w:rsidRDefault="00A003FE" w:rsidP="00A003FE">
      <w:pPr>
        <w:jc w:val="center"/>
        <w:rPr>
          <w:b/>
        </w:rPr>
      </w:pPr>
      <w:r w:rsidRPr="00D30D54">
        <w:rPr>
          <w:b/>
        </w:rPr>
        <w:t>A lack of timely implementation of the</w:t>
      </w:r>
      <w:r w:rsidR="007D431F" w:rsidRPr="00D30D54">
        <w:rPr>
          <w:b/>
        </w:rPr>
        <w:t xml:space="preserve"> agreed a</w:t>
      </w:r>
      <w:r w:rsidRPr="00D30D54">
        <w:rPr>
          <w:b/>
        </w:rPr>
        <w:t xml:space="preserve">ctions may be reported to </w:t>
      </w:r>
      <w:r w:rsidR="00DA2BF0">
        <w:rPr>
          <w:b/>
        </w:rPr>
        <w:t xml:space="preserve">the </w:t>
      </w:r>
      <w:r w:rsidRPr="00D30D54">
        <w:rPr>
          <w:b/>
        </w:rPr>
        <w:t>Governance Committee.</w:t>
      </w:r>
    </w:p>
    <w:p w14:paraId="3118AC9E" w14:textId="77777777" w:rsidR="0098430D" w:rsidRDefault="00FB5ACA" w:rsidP="003F2FA7">
      <w:pPr>
        <w:pStyle w:val="Default"/>
        <w:rPr>
          <w:b/>
        </w:rPr>
      </w:pPr>
      <w:r>
        <w:rPr>
          <w:sz w:val="23"/>
          <w:szCs w:val="23"/>
        </w:rPr>
        <w:t xml:space="preserve">All internal audit work is conducted in compliance with the Public Sector Internal Audit Standards, issued by the Chartered Institute of Public Finance and Accountancy and the Chartered Institute of Internal Auditors. </w:t>
      </w:r>
      <w:r w:rsidR="00661889">
        <w:rPr>
          <w:b/>
        </w:rPr>
        <w:tab/>
      </w:r>
    </w:p>
    <w:p w14:paraId="1AA2E844" w14:textId="77777777" w:rsidR="00D00EAC" w:rsidRDefault="00D00EAC">
      <w:pPr>
        <w:rPr>
          <w:rFonts w:cs="Arial"/>
          <w:b/>
          <w:color w:val="000000"/>
          <w:sz w:val="24"/>
          <w:szCs w:val="24"/>
        </w:rPr>
      </w:pPr>
      <w:r>
        <w:rPr>
          <w:b/>
        </w:rPr>
        <w:br w:type="page"/>
      </w:r>
    </w:p>
    <w:tbl>
      <w:tblPr>
        <w:tblW w:w="14771"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771"/>
      </w:tblGrid>
      <w:tr w:rsidR="00D00EAC" w:rsidRPr="00D30D54" w14:paraId="21B43822" w14:textId="77777777" w:rsidTr="009F00D7">
        <w:tc>
          <w:tcPr>
            <w:tcW w:w="14771" w:type="dxa"/>
            <w:tcBorders>
              <w:bottom w:val="single" w:sz="6" w:space="0" w:color="auto"/>
            </w:tcBorders>
            <w:shd w:val="clear" w:color="auto" w:fill="B8CCE4" w:themeFill="accent1" w:themeFillTint="66"/>
          </w:tcPr>
          <w:p w14:paraId="76B53B63" w14:textId="77777777" w:rsidR="00D00EAC" w:rsidRPr="00D30D54" w:rsidRDefault="00977D9F" w:rsidP="009F00D7">
            <w:pPr>
              <w:rPr>
                <w:b/>
              </w:rPr>
            </w:pPr>
            <w:r>
              <w:rPr>
                <w:b/>
              </w:rPr>
              <w:t>Statement of Responsibility</w:t>
            </w:r>
          </w:p>
        </w:tc>
      </w:tr>
      <w:tr w:rsidR="00D00EAC" w:rsidRPr="0087369F" w14:paraId="712F01CC" w14:textId="77777777" w:rsidTr="009F00D7">
        <w:trPr>
          <w:trHeight w:val="629"/>
        </w:trPr>
        <w:tc>
          <w:tcPr>
            <w:tcW w:w="14771" w:type="dxa"/>
            <w:tcBorders>
              <w:top w:val="single" w:sz="6" w:space="0" w:color="auto"/>
            </w:tcBorders>
          </w:tcPr>
          <w:p w14:paraId="19DA2AE0" w14:textId="77777777" w:rsidR="00977D9F" w:rsidRPr="00977D9F" w:rsidRDefault="00977D9F" w:rsidP="00977D9F">
            <w:pPr>
              <w:autoSpaceDE w:val="0"/>
              <w:autoSpaceDN w:val="0"/>
              <w:adjustRightInd w:val="0"/>
              <w:spacing w:before="120" w:after="120"/>
              <w:jc w:val="both"/>
              <w:rPr>
                <w:rFonts w:ascii="ArialNarrow-Italic" w:hAnsi="ArialNarrow-Italic" w:cs="ArialNarrow-Italic"/>
                <w:iCs/>
              </w:rPr>
            </w:pPr>
            <w:r w:rsidRPr="00977D9F">
              <w:rPr>
                <w:rFonts w:ascii="ArialNarrow-Italic" w:hAnsi="ArialNarrow-Italic" w:cs="ArialNarrow-Italic"/>
                <w:iCs/>
              </w:rPr>
              <w:t>The responsibility for designing and maintaining a sound system of internal control and the prevention and detection of fraud and other irregularities rests with management, with internal audit providing a service to management to enable them to achieve this objective. Specifically, we assess the adequacy and effectiveness of the system of internal control arrangements implemented by management and perform sample testing on those controls in the period under review with a view to providing an opinion on the extent to which risks in this area are managed.</w:t>
            </w:r>
          </w:p>
          <w:p w14:paraId="61AB8187" w14:textId="77777777" w:rsidR="00977D9F" w:rsidRPr="00977D9F" w:rsidRDefault="00977D9F" w:rsidP="00977D9F">
            <w:pPr>
              <w:autoSpaceDE w:val="0"/>
              <w:autoSpaceDN w:val="0"/>
              <w:adjustRightInd w:val="0"/>
              <w:spacing w:after="120"/>
              <w:jc w:val="both"/>
              <w:rPr>
                <w:rFonts w:ascii="ArialNarrow-Italic" w:hAnsi="ArialNarrow-Italic" w:cs="ArialNarrow-Italic"/>
                <w:iCs/>
              </w:rPr>
            </w:pPr>
            <w:r w:rsidRPr="00977D9F">
              <w:rPr>
                <w:rFonts w:ascii="ArialNarrow-Italic" w:hAnsi="ArialNarrow-Italic" w:cs="ArialNarrow-Italic"/>
                <w:iCs/>
              </w:rPr>
              <w:t>We plan our work in order to ensure that we have a reasonable expectation of detecting significant control weaknesses. However, our procedures alone should not be relied upon to identify all strengths and weaknesses in internal controls, nor relied upon to identify any circumstances of fraud or irregularity. Even sound systems of internal control can only provide reasonable and not absolute assurance and may not be proof against collusive fraud.</w:t>
            </w:r>
          </w:p>
          <w:p w14:paraId="0B95140E" w14:textId="77777777" w:rsidR="00D00EAC" w:rsidRPr="0087369F" w:rsidRDefault="00977D9F" w:rsidP="00977D9F">
            <w:pPr>
              <w:autoSpaceDE w:val="0"/>
              <w:autoSpaceDN w:val="0"/>
              <w:adjustRightInd w:val="0"/>
              <w:spacing w:after="120"/>
              <w:jc w:val="both"/>
              <w:rPr>
                <w:rFonts w:cs="Arial"/>
                <w:iCs/>
                <w:sz w:val="20"/>
                <w:szCs w:val="20"/>
              </w:rPr>
            </w:pPr>
            <w:r w:rsidRPr="00977D9F">
              <w:rPr>
                <w:rFonts w:ascii="ArialNarrow-Italic" w:hAnsi="ArialNarrow-Italic" w:cs="ArialNarrow-Italic"/>
                <w:iCs/>
              </w:rPr>
              <w:t>The matters raised in this report are only those which came to our attention during the course of our work and are not necessarily a comprehensive statement of all the weaknesses that exist or all improvements that might be made. Recommendations for improvements should be assessed by you for their full impact before they are implemented. The performance of our work is not and should not be taken as a substitute for management’s responsibilities for the application of sound management practices.</w:t>
            </w:r>
          </w:p>
        </w:tc>
      </w:tr>
    </w:tbl>
    <w:p w14:paraId="3364EF76" w14:textId="77777777" w:rsidR="00D00EAC" w:rsidRDefault="00D00EAC" w:rsidP="003F2FA7">
      <w:pPr>
        <w:pStyle w:val="Default"/>
        <w:rPr>
          <w:b/>
        </w:rPr>
      </w:pPr>
    </w:p>
    <w:sectPr w:rsidR="00D00EAC" w:rsidSect="001A2585">
      <w:pgSz w:w="16839" w:h="11907" w:orient="landscape" w:code="9"/>
      <w:pgMar w:top="1152" w:right="1440" w:bottom="1152" w:left="1008" w:header="619" w:footer="619"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5DD5B" w14:textId="77777777" w:rsidR="008475A7" w:rsidRDefault="008475A7">
      <w:r>
        <w:separator/>
      </w:r>
    </w:p>
  </w:endnote>
  <w:endnote w:type="continuationSeparator" w:id="0">
    <w:p w14:paraId="10405097" w14:textId="77777777" w:rsidR="008475A7" w:rsidRDefault="008475A7">
      <w:r>
        <w:continuationSeparator/>
      </w:r>
    </w:p>
  </w:endnote>
  <w:endnote w:type="continuationNotice" w:id="1">
    <w:p w14:paraId="229CC690" w14:textId="77777777" w:rsidR="008475A7" w:rsidRDefault="00847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Narrow-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B3E2" w14:textId="77777777" w:rsidR="008475A7" w:rsidRDefault="008475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32</w:t>
    </w:r>
    <w:r>
      <w:rPr>
        <w:rStyle w:val="PageNumber"/>
      </w:rPr>
      <w:fldChar w:fldCharType="end"/>
    </w:r>
  </w:p>
  <w:p w14:paraId="6D63A5D6" w14:textId="46C030AC" w:rsidR="008475A7" w:rsidRDefault="008475A7">
    <w:pPr>
      <w:pStyle w:val="Footer"/>
      <w:tabs>
        <w:tab w:val="center" w:pos="4770"/>
      </w:tabs>
    </w:pPr>
    <w:r>
      <w:rPr>
        <w:sz w:val="14"/>
      </w:rPr>
      <w:fldChar w:fldCharType="begin"/>
    </w:r>
    <w:r>
      <w:rPr>
        <w:sz w:val="14"/>
      </w:rPr>
      <w:instrText xml:space="preserve"> KEYWORDS  \* MERGEFORMAT </w:instrText>
    </w:r>
    <w:r>
      <w:rPr>
        <w:sz w:val="14"/>
      </w:rPr>
      <w:fldChar w:fldCharType="end"/>
    </w:r>
    <w:r>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CD2F5" w14:textId="77777777" w:rsidR="008475A7" w:rsidRDefault="008475A7">
      <w:r>
        <w:separator/>
      </w:r>
    </w:p>
  </w:footnote>
  <w:footnote w:type="continuationSeparator" w:id="0">
    <w:p w14:paraId="18F5DA62" w14:textId="77777777" w:rsidR="008475A7" w:rsidRDefault="008475A7">
      <w:r>
        <w:continuationSeparator/>
      </w:r>
    </w:p>
  </w:footnote>
  <w:footnote w:type="continuationNotice" w:id="1">
    <w:p w14:paraId="48CE0DFC" w14:textId="77777777" w:rsidR="008475A7" w:rsidRDefault="008475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B8FA8" w14:textId="77777777" w:rsidR="008475A7" w:rsidRPr="00717184" w:rsidRDefault="008475A7" w:rsidP="00C61E97">
    <w:pPr>
      <w:pStyle w:val="Header"/>
      <w:jc w:val="right"/>
      <w:rPr>
        <w:sz w:val="16"/>
        <w:szCs w:val="16"/>
      </w:rPr>
    </w:pPr>
    <w:r w:rsidRPr="00717184">
      <w:rPr>
        <w:sz w:val="16"/>
        <w:szCs w:val="16"/>
      </w:rPr>
      <w:t>F</w:t>
    </w:r>
    <w:r>
      <w:rPr>
        <w:sz w:val="16"/>
        <w:szCs w:val="16"/>
      </w:rPr>
      <w:t>5</w:t>
    </w:r>
    <w:r w:rsidRPr="00717184">
      <w:rPr>
        <w:sz w:val="16"/>
        <w:szCs w:val="16"/>
      </w:rPr>
      <w:t xml:space="preserve"> – Audit Report</w:t>
    </w:r>
    <w:r>
      <w:rPr>
        <w:sz w:val="16"/>
        <w:szCs w:val="16"/>
      </w:rPr>
      <w:t xml:space="preserve"> (Revised Oct 19)</w:t>
    </w:r>
  </w:p>
  <w:p w14:paraId="6282D0CF" w14:textId="77777777" w:rsidR="008475A7" w:rsidRPr="00717184" w:rsidRDefault="008475A7">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34E5"/>
    <w:multiLevelType w:val="hybridMultilevel"/>
    <w:tmpl w:val="DC24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6B0A"/>
    <w:multiLevelType w:val="hybridMultilevel"/>
    <w:tmpl w:val="3FEC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F55DA"/>
    <w:multiLevelType w:val="hybridMultilevel"/>
    <w:tmpl w:val="1888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36873"/>
    <w:multiLevelType w:val="multilevel"/>
    <w:tmpl w:val="D6946A32"/>
    <w:lvl w:ilvl="0">
      <w:start w:val="1"/>
      <w:numFmt w:val="none"/>
      <w:lvlText w:val="4"/>
      <w:lvlJc w:val="left"/>
      <w:pPr>
        <w:tabs>
          <w:tab w:val="num" w:pos="567"/>
        </w:tabs>
        <w:ind w:left="567" w:hanging="567"/>
      </w:pPr>
      <w:rPr>
        <w:rFonts w:hint="default"/>
      </w:rPr>
    </w:lvl>
    <w:lvl w:ilvl="1">
      <w:start w:val="1"/>
      <w:numFmt w:val="decimal"/>
      <w:lvlText w:val="%2%14.1"/>
      <w:lvlJc w:val="left"/>
      <w:pPr>
        <w:tabs>
          <w:tab w:val="num" w:pos="567"/>
        </w:tabs>
        <w:ind w:left="567" w:hanging="567"/>
      </w:pPr>
      <w:rPr>
        <w:rFonts w:hint="default"/>
        <w:b w:val="0"/>
        <w:i w:val="0"/>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C6E0EBE"/>
    <w:multiLevelType w:val="multilevel"/>
    <w:tmpl w:val="68BA132C"/>
    <w:lvl w:ilvl="0">
      <w:start w:val="2"/>
      <w:numFmt w:val="none"/>
      <w:pStyle w:val="ListNumber5"/>
      <w:lvlText w:val="7"/>
      <w:lvlJc w:val="left"/>
      <w:pPr>
        <w:tabs>
          <w:tab w:val="num" w:pos="570"/>
        </w:tabs>
        <w:ind w:left="570" w:hanging="570"/>
      </w:pPr>
      <w:rPr>
        <w:rFonts w:hint="default"/>
        <w:b/>
        <w:i w:val="0"/>
      </w:rPr>
    </w:lvl>
    <w:lvl w:ilvl="1">
      <w:start w:val="2"/>
      <w:numFmt w:val="decimal"/>
      <w:lvlText w:val="%17.1"/>
      <w:lvlJc w:val="left"/>
      <w:pPr>
        <w:tabs>
          <w:tab w:val="num" w:pos="723"/>
        </w:tabs>
        <w:ind w:left="723" w:hanging="570"/>
      </w:pPr>
      <w:rPr>
        <w:rFonts w:hint="default"/>
      </w:rPr>
    </w:lvl>
    <w:lvl w:ilvl="2">
      <w:start w:val="2"/>
      <w:numFmt w:val="decimal"/>
      <w:lvlText w:val="%17.2"/>
      <w:lvlJc w:val="left"/>
      <w:pPr>
        <w:tabs>
          <w:tab w:val="num" w:pos="1593"/>
        </w:tabs>
        <w:ind w:left="1593" w:hanging="720"/>
      </w:pPr>
      <w:rPr>
        <w:rFonts w:hint="default"/>
      </w:rPr>
    </w:lvl>
    <w:lvl w:ilvl="3">
      <w:start w:val="3"/>
      <w:numFmt w:val="decimal"/>
      <w:lvlText w:val="%1.%4"/>
      <w:lvlJc w:val="left"/>
      <w:pPr>
        <w:tabs>
          <w:tab w:val="num" w:pos="2313"/>
        </w:tabs>
        <w:ind w:left="2313" w:hanging="720"/>
      </w:pPr>
      <w:rPr>
        <w:rFonts w:hint="default"/>
      </w:rPr>
    </w:lvl>
    <w:lvl w:ilvl="4">
      <w:start w:val="4"/>
      <w:numFmt w:val="decimal"/>
      <w:lvlText w:val="%1.%5"/>
      <w:lvlJc w:val="left"/>
      <w:pPr>
        <w:tabs>
          <w:tab w:val="num" w:pos="3393"/>
        </w:tabs>
        <w:ind w:left="3393" w:hanging="1080"/>
      </w:pPr>
      <w:rPr>
        <w:rFonts w:hint="default"/>
      </w:rPr>
    </w:lvl>
    <w:lvl w:ilvl="5">
      <w:start w:val="5"/>
      <w:numFmt w:val="decimal"/>
      <w:lvlText w:val="%1.5"/>
      <w:lvlJc w:val="left"/>
      <w:pPr>
        <w:tabs>
          <w:tab w:val="num" w:pos="4113"/>
        </w:tabs>
        <w:ind w:left="4113" w:hanging="1080"/>
      </w:pPr>
      <w:rPr>
        <w:rFonts w:hint="default"/>
      </w:rPr>
    </w:lvl>
    <w:lvl w:ilvl="6">
      <w:start w:val="1"/>
      <w:numFmt w:val="decimal"/>
      <w:lvlText w:val="%1.%2.%3.%4.%5.%6.%7"/>
      <w:lvlJc w:val="left"/>
      <w:pPr>
        <w:tabs>
          <w:tab w:val="num" w:pos="5193"/>
        </w:tabs>
        <w:ind w:left="5193" w:hanging="1440"/>
      </w:pPr>
      <w:rPr>
        <w:rFonts w:hint="default"/>
      </w:rPr>
    </w:lvl>
    <w:lvl w:ilvl="7">
      <w:start w:val="1"/>
      <w:numFmt w:val="decimal"/>
      <w:lvlText w:val="%1.%2.%3.%4.%5.%6.%7.%8"/>
      <w:lvlJc w:val="left"/>
      <w:pPr>
        <w:tabs>
          <w:tab w:val="num" w:pos="5913"/>
        </w:tabs>
        <w:ind w:left="5913" w:hanging="1440"/>
      </w:pPr>
      <w:rPr>
        <w:rFonts w:hint="default"/>
      </w:rPr>
    </w:lvl>
    <w:lvl w:ilvl="8">
      <w:start w:val="1"/>
      <w:numFmt w:val="decimal"/>
      <w:lvlText w:val="%1.%2.%3.%4.%5.%6.%7.%8.%9"/>
      <w:lvlJc w:val="left"/>
      <w:pPr>
        <w:tabs>
          <w:tab w:val="num" w:pos="6993"/>
        </w:tabs>
        <w:ind w:left="6993" w:hanging="1800"/>
      </w:pPr>
      <w:rPr>
        <w:rFonts w:hint="default"/>
      </w:rPr>
    </w:lvl>
  </w:abstractNum>
  <w:abstractNum w:abstractNumId="5" w15:restartNumberingAfterBreak="0">
    <w:nsid w:val="6DB74877"/>
    <w:multiLevelType w:val="hybridMultilevel"/>
    <w:tmpl w:val="8168FAF0"/>
    <w:lvl w:ilvl="0" w:tplc="0809000B">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15:restartNumberingAfterBreak="0">
    <w:nsid w:val="72590260"/>
    <w:multiLevelType w:val="hybridMultilevel"/>
    <w:tmpl w:val="B0FE7A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BE66AD"/>
    <w:multiLevelType w:val="hybridMultilevel"/>
    <w:tmpl w:val="8EAE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801D29"/>
    <w:multiLevelType w:val="hybridMultilevel"/>
    <w:tmpl w:val="DF844A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6"/>
  </w:num>
  <w:num w:numId="6">
    <w:abstractNumId w:val="8"/>
  </w:num>
  <w:num w:numId="7">
    <w:abstractNumId w:val="0"/>
  </w:num>
  <w:num w:numId="8">
    <w:abstractNumId w:val="2"/>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69313" fillcolor="silver" stroke="f">
      <v:fill color="silver" opacity="22938f"/>
      <v:stroke on="f"/>
      <v:shadow color="#868686"/>
      <o:colormru v:ext="edit" colors="#e2e2e2,#f5f5f5,#f1f1f1,#c1c1c1,#dedede,#ececec,#f9f9f9,#ee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D1"/>
    <w:rsid w:val="000027FB"/>
    <w:rsid w:val="00005774"/>
    <w:rsid w:val="00007493"/>
    <w:rsid w:val="00007A0C"/>
    <w:rsid w:val="00011E42"/>
    <w:rsid w:val="00011F39"/>
    <w:rsid w:val="0001392A"/>
    <w:rsid w:val="00013B49"/>
    <w:rsid w:val="0001409E"/>
    <w:rsid w:val="00014704"/>
    <w:rsid w:val="00014CB7"/>
    <w:rsid w:val="00016EC1"/>
    <w:rsid w:val="00017D1B"/>
    <w:rsid w:val="00020B39"/>
    <w:rsid w:val="000234F5"/>
    <w:rsid w:val="000246D7"/>
    <w:rsid w:val="00026D11"/>
    <w:rsid w:val="00030154"/>
    <w:rsid w:val="00030FCD"/>
    <w:rsid w:val="000310F2"/>
    <w:rsid w:val="00031187"/>
    <w:rsid w:val="000313D1"/>
    <w:rsid w:val="00031CF4"/>
    <w:rsid w:val="00035F0E"/>
    <w:rsid w:val="0003761C"/>
    <w:rsid w:val="00040029"/>
    <w:rsid w:val="00041E9D"/>
    <w:rsid w:val="0004568C"/>
    <w:rsid w:val="00050BFB"/>
    <w:rsid w:val="0005465C"/>
    <w:rsid w:val="000548C3"/>
    <w:rsid w:val="00060FFB"/>
    <w:rsid w:val="00062731"/>
    <w:rsid w:val="00062E01"/>
    <w:rsid w:val="000641D0"/>
    <w:rsid w:val="00066828"/>
    <w:rsid w:val="0006697C"/>
    <w:rsid w:val="00070310"/>
    <w:rsid w:val="0007071C"/>
    <w:rsid w:val="000713A0"/>
    <w:rsid w:val="000720C9"/>
    <w:rsid w:val="00074689"/>
    <w:rsid w:val="000773BE"/>
    <w:rsid w:val="00077746"/>
    <w:rsid w:val="000801EC"/>
    <w:rsid w:val="000828B7"/>
    <w:rsid w:val="00084966"/>
    <w:rsid w:val="00085B3E"/>
    <w:rsid w:val="0008769D"/>
    <w:rsid w:val="000902B7"/>
    <w:rsid w:val="00090345"/>
    <w:rsid w:val="00092109"/>
    <w:rsid w:val="00093DBF"/>
    <w:rsid w:val="000A4FE4"/>
    <w:rsid w:val="000A57FD"/>
    <w:rsid w:val="000B058B"/>
    <w:rsid w:val="000B3985"/>
    <w:rsid w:val="000B5353"/>
    <w:rsid w:val="000B6CAA"/>
    <w:rsid w:val="000C5909"/>
    <w:rsid w:val="000C6DF9"/>
    <w:rsid w:val="000D0878"/>
    <w:rsid w:val="000D2D21"/>
    <w:rsid w:val="000D345D"/>
    <w:rsid w:val="000D3A5F"/>
    <w:rsid w:val="000D4FBF"/>
    <w:rsid w:val="000D5E22"/>
    <w:rsid w:val="000D7820"/>
    <w:rsid w:val="000D7D72"/>
    <w:rsid w:val="000E098B"/>
    <w:rsid w:val="000E11FA"/>
    <w:rsid w:val="000E18E6"/>
    <w:rsid w:val="000E1AE4"/>
    <w:rsid w:val="000E1BF4"/>
    <w:rsid w:val="000E367F"/>
    <w:rsid w:val="000E7615"/>
    <w:rsid w:val="000E7CBC"/>
    <w:rsid w:val="000F1408"/>
    <w:rsid w:val="000F1A13"/>
    <w:rsid w:val="000F39BF"/>
    <w:rsid w:val="000F605C"/>
    <w:rsid w:val="000F63C7"/>
    <w:rsid w:val="00100BCB"/>
    <w:rsid w:val="001024E3"/>
    <w:rsid w:val="00104320"/>
    <w:rsid w:val="001059B4"/>
    <w:rsid w:val="00105C87"/>
    <w:rsid w:val="00105E17"/>
    <w:rsid w:val="00106C7D"/>
    <w:rsid w:val="0010743C"/>
    <w:rsid w:val="00110552"/>
    <w:rsid w:val="001111D2"/>
    <w:rsid w:val="00111371"/>
    <w:rsid w:val="001113C5"/>
    <w:rsid w:val="00111F1A"/>
    <w:rsid w:val="00113264"/>
    <w:rsid w:val="0011487A"/>
    <w:rsid w:val="001154D8"/>
    <w:rsid w:val="001178F3"/>
    <w:rsid w:val="00117C6B"/>
    <w:rsid w:val="0012224E"/>
    <w:rsid w:val="00123D38"/>
    <w:rsid w:val="00124333"/>
    <w:rsid w:val="0013010F"/>
    <w:rsid w:val="00133098"/>
    <w:rsid w:val="00133787"/>
    <w:rsid w:val="0013448C"/>
    <w:rsid w:val="0013537A"/>
    <w:rsid w:val="001436C3"/>
    <w:rsid w:val="0014406A"/>
    <w:rsid w:val="001451F6"/>
    <w:rsid w:val="00147DE0"/>
    <w:rsid w:val="001507C1"/>
    <w:rsid w:val="00150B69"/>
    <w:rsid w:val="00152F7B"/>
    <w:rsid w:val="001531FB"/>
    <w:rsid w:val="00154F35"/>
    <w:rsid w:val="00154F46"/>
    <w:rsid w:val="0016216B"/>
    <w:rsid w:val="00162374"/>
    <w:rsid w:val="0016285E"/>
    <w:rsid w:val="001631D3"/>
    <w:rsid w:val="0016364D"/>
    <w:rsid w:val="001641C4"/>
    <w:rsid w:val="00164AC9"/>
    <w:rsid w:val="001652D0"/>
    <w:rsid w:val="00165CDF"/>
    <w:rsid w:val="00167593"/>
    <w:rsid w:val="001676DF"/>
    <w:rsid w:val="001702B1"/>
    <w:rsid w:val="001724B9"/>
    <w:rsid w:val="0017277B"/>
    <w:rsid w:val="00173B26"/>
    <w:rsid w:val="00173C51"/>
    <w:rsid w:val="0017745F"/>
    <w:rsid w:val="001818B6"/>
    <w:rsid w:val="00182094"/>
    <w:rsid w:val="001822BF"/>
    <w:rsid w:val="001837B6"/>
    <w:rsid w:val="00184E6F"/>
    <w:rsid w:val="0018633C"/>
    <w:rsid w:val="00190E06"/>
    <w:rsid w:val="00191008"/>
    <w:rsid w:val="00191DF6"/>
    <w:rsid w:val="001971C4"/>
    <w:rsid w:val="00197447"/>
    <w:rsid w:val="00197659"/>
    <w:rsid w:val="00197716"/>
    <w:rsid w:val="00197982"/>
    <w:rsid w:val="001A0302"/>
    <w:rsid w:val="001A1A81"/>
    <w:rsid w:val="001A204E"/>
    <w:rsid w:val="001A2585"/>
    <w:rsid w:val="001A2CE8"/>
    <w:rsid w:val="001A6F91"/>
    <w:rsid w:val="001A73C9"/>
    <w:rsid w:val="001A799F"/>
    <w:rsid w:val="001A7A3B"/>
    <w:rsid w:val="001B599E"/>
    <w:rsid w:val="001B62D8"/>
    <w:rsid w:val="001B79A8"/>
    <w:rsid w:val="001C218B"/>
    <w:rsid w:val="001C295B"/>
    <w:rsid w:val="001C4C66"/>
    <w:rsid w:val="001C5D5D"/>
    <w:rsid w:val="001C6685"/>
    <w:rsid w:val="001C68C2"/>
    <w:rsid w:val="001C7671"/>
    <w:rsid w:val="001C7875"/>
    <w:rsid w:val="001D21EE"/>
    <w:rsid w:val="001D2240"/>
    <w:rsid w:val="001D536C"/>
    <w:rsid w:val="001D6574"/>
    <w:rsid w:val="001E0430"/>
    <w:rsid w:val="001E05E5"/>
    <w:rsid w:val="001E4C7C"/>
    <w:rsid w:val="001E5FAE"/>
    <w:rsid w:val="001E7269"/>
    <w:rsid w:val="001F06B5"/>
    <w:rsid w:val="001F399C"/>
    <w:rsid w:val="001F44DD"/>
    <w:rsid w:val="001F7AC4"/>
    <w:rsid w:val="0020024F"/>
    <w:rsid w:val="00200D33"/>
    <w:rsid w:val="00200F4C"/>
    <w:rsid w:val="00200FA7"/>
    <w:rsid w:val="0020679A"/>
    <w:rsid w:val="002139FD"/>
    <w:rsid w:val="00213EE1"/>
    <w:rsid w:val="002151A5"/>
    <w:rsid w:val="00222842"/>
    <w:rsid w:val="002231BB"/>
    <w:rsid w:val="002240DE"/>
    <w:rsid w:val="00226F46"/>
    <w:rsid w:val="00227D76"/>
    <w:rsid w:val="00231317"/>
    <w:rsid w:val="00233828"/>
    <w:rsid w:val="00233D6B"/>
    <w:rsid w:val="00236DD5"/>
    <w:rsid w:val="00236EA6"/>
    <w:rsid w:val="0024010E"/>
    <w:rsid w:val="002402CD"/>
    <w:rsid w:val="002418E8"/>
    <w:rsid w:val="00242DD9"/>
    <w:rsid w:val="00245324"/>
    <w:rsid w:val="0024585C"/>
    <w:rsid w:val="00247031"/>
    <w:rsid w:val="00251A80"/>
    <w:rsid w:val="0025284D"/>
    <w:rsid w:val="00252ADA"/>
    <w:rsid w:val="00253470"/>
    <w:rsid w:val="0025646D"/>
    <w:rsid w:val="00257465"/>
    <w:rsid w:val="00260471"/>
    <w:rsid w:val="00260BB4"/>
    <w:rsid w:val="0026162D"/>
    <w:rsid w:val="00265804"/>
    <w:rsid w:val="00265B39"/>
    <w:rsid w:val="00265CF5"/>
    <w:rsid w:val="00266197"/>
    <w:rsid w:val="00266BB2"/>
    <w:rsid w:val="00266FF0"/>
    <w:rsid w:val="00267753"/>
    <w:rsid w:val="00270F09"/>
    <w:rsid w:val="00270F41"/>
    <w:rsid w:val="002738D3"/>
    <w:rsid w:val="002747E5"/>
    <w:rsid w:val="002764C1"/>
    <w:rsid w:val="0027732A"/>
    <w:rsid w:val="0029130D"/>
    <w:rsid w:val="00291B8A"/>
    <w:rsid w:val="00291CC7"/>
    <w:rsid w:val="00291FEB"/>
    <w:rsid w:val="00292C1B"/>
    <w:rsid w:val="00292CA1"/>
    <w:rsid w:val="002962A8"/>
    <w:rsid w:val="002963DF"/>
    <w:rsid w:val="00296BA6"/>
    <w:rsid w:val="00297088"/>
    <w:rsid w:val="002A21BF"/>
    <w:rsid w:val="002A2616"/>
    <w:rsid w:val="002A7101"/>
    <w:rsid w:val="002A745B"/>
    <w:rsid w:val="002B1C61"/>
    <w:rsid w:val="002B22F5"/>
    <w:rsid w:val="002B395F"/>
    <w:rsid w:val="002B5CE1"/>
    <w:rsid w:val="002B6504"/>
    <w:rsid w:val="002B6D4C"/>
    <w:rsid w:val="002C0496"/>
    <w:rsid w:val="002C089B"/>
    <w:rsid w:val="002C1924"/>
    <w:rsid w:val="002C5F3C"/>
    <w:rsid w:val="002C6709"/>
    <w:rsid w:val="002C67C0"/>
    <w:rsid w:val="002C6B94"/>
    <w:rsid w:val="002C7BCB"/>
    <w:rsid w:val="002D5B35"/>
    <w:rsid w:val="002D643D"/>
    <w:rsid w:val="002E0503"/>
    <w:rsid w:val="002E2340"/>
    <w:rsid w:val="002E4AEA"/>
    <w:rsid w:val="002E584A"/>
    <w:rsid w:val="002E5BB6"/>
    <w:rsid w:val="002E5D8A"/>
    <w:rsid w:val="002E6A23"/>
    <w:rsid w:val="002E7522"/>
    <w:rsid w:val="002F0BE3"/>
    <w:rsid w:val="002F720A"/>
    <w:rsid w:val="002F768B"/>
    <w:rsid w:val="00303270"/>
    <w:rsid w:val="00305158"/>
    <w:rsid w:val="00305FFF"/>
    <w:rsid w:val="00306347"/>
    <w:rsid w:val="003065E3"/>
    <w:rsid w:val="00307E5A"/>
    <w:rsid w:val="0031023E"/>
    <w:rsid w:val="00311049"/>
    <w:rsid w:val="0031350E"/>
    <w:rsid w:val="003153BB"/>
    <w:rsid w:val="003208B2"/>
    <w:rsid w:val="00320C7E"/>
    <w:rsid w:val="003253A6"/>
    <w:rsid w:val="00325ACB"/>
    <w:rsid w:val="00326C47"/>
    <w:rsid w:val="00327BC2"/>
    <w:rsid w:val="003302C8"/>
    <w:rsid w:val="00330374"/>
    <w:rsid w:val="00330403"/>
    <w:rsid w:val="003311E6"/>
    <w:rsid w:val="00336072"/>
    <w:rsid w:val="003414C7"/>
    <w:rsid w:val="0034269A"/>
    <w:rsid w:val="00342F86"/>
    <w:rsid w:val="003458B1"/>
    <w:rsid w:val="00347804"/>
    <w:rsid w:val="00347D7A"/>
    <w:rsid w:val="003507BB"/>
    <w:rsid w:val="00350FD1"/>
    <w:rsid w:val="003522D7"/>
    <w:rsid w:val="003571C8"/>
    <w:rsid w:val="003628D3"/>
    <w:rsid w:val="00362C1C"/>
    <w:rsid w:val="00363330"/>
    <w:rsid w:val="00365042"/>
    <w:rsid w:val="00365B97"/>
    <w:rsid w:val="00371648"/>
    <w:rsid w:val="00373403"/>
    <w:rsid w:val="003777F8"/>
    <w:rsid w:val="00381A3C"/>
    <w:rsid w:val="00381D70"/>
    <w:rsid w:val="00383A82"/>
    <w:rsid w:val="003852D9"/>
    <w:rsid w:val="00391174"/>
    <w:rsid w:val="003917EC"/>
    <w:rsid w:val="003942C3"/>
    <w:rsid w:val="00395906"/>
    <w:rsid w:val="0039757A"/>
    <w:rsid w:val="003A0F92"/>
    <w:rsid w:val="003A34ED"/>
    <w:rsid w:val="003A6697"/>
    <w:rsid w:val="003A7362"/>
    <w:rsid w:val="003B07FE"/>
    <w:rsid w:val="003B3287"/>
    <w:rsid w:val="003B4137"/>
    <w:rsid w:val="003C2017"/>
    <w:rsid w:val="003C2594"/>
    <w:rsid w:val="003C2944"/>
    <w:rsid w:val="003C349F"/>
    <w:rsid w:val="003C44F2"/>
    <w:rsid w:val="003C539C"/>
    <w:rsid w:val="003C5465"/>
    <w:rsid w:val="003C63AC"/>
    <w:rsid w:val="003D2300"/>
    <w:rsid w:val="003D2851"/>
    <w:rsid w:val="003D32A5"/>
    <w:rsid w:val="003D5217"/>
    <w:rsid w:val="003D5CEB"/>
    <w:rsid w:val="003D604C"/>
    <w:rsid w:val="003D66A7"/>
    <w:rsid w:val="003E17C0"/>
    <w:rsid w:val="003E3170"/>
    <w:rsid w:val="003E3BF4"/>
    <w:rsid w:val="003E4C9A"/>
    <w:rsid w:val="003E5F02"/>
    <w:rsid w:val="003E5F4F"/>
    <w:rsid w:val="003E7D33"/>
    <w:rsid w:val="003F2FA7"/>
    <w:rsid w:val="003F3214"/>
    <w:rsid w:val="003F3580"/>
    <w:rsid w:val="003F3AC1"/>
    <w:rsid w:val="003F688E"/>
    <w:rsid w:val="00401390"/>
    <w:rsid w:val="00402841"/>
    <w:rsid w:val="004028F3"/>
    <w:rsid w:val="004041D3"/>
    <w:rsid w:val="00404E72"/>
    <w:rsid w:val="00405003"/>
    <w:rsid w:val="00405663"/>
    <w:rsid w:val="004058B4"/>
    <w:rsid w:val="00406437"/>
    <w:rsid w:val="004127DB"/>
    <w:rsid w:val="004144C3"/>
    <w:rsid w:val="004145F0"/>
    <w:rsid w:val="00414BE1"/>
    <w:rsid w:val="00414EF7"/>
    <w:rsid w:val="00416D71"/>
    <w:rsid w:val="00416F81"/>
    <w:rsid w:val="00417B41"/>
    <w:rsid w:val="00421377"/>
    <w:rsid w:val="004233B7"/>
    <w:rsid w:val="0042395B"/>
    <w:rsid w:val="004244EA"/>
    <w:rsid w:val="00430ECE"/>
    <w:rsid w:val="00433FBC"/>
    <w:rsid w:val="00434E1C"/>
    <w:rsid w:val="00436289"/>
    <w:rsid w:val="004376FB"/>
    <w:rsid w:val="0044018B"/>
    <w:rsid w:val="004403FA"/>
    <w:rsid w:val="0044106C"/>
    <w:rsid w:val="00441164"/>
    <w:rsid w:val="0044168F"/>
    <w:rsid w:val="00442083"/>
    <w:rsid w:val="00442B31"/>
    <w:rsid w:val="0044317C"/>
    <w:rsid w:val="00443762"/>
    <w:rsid w:val="00447A65"/>
    <w:rsid w:val="00450A64"/>
    <w:rsid w:val="00455C3D"/>
    <w:rsid w:val="004560C3"/>
    <w:rsid w:val="00456893"/>
    <w:rsid w:val="00457541"/>
    <w:rsid w:val="004601A4"/>
    <w:rsid w:val="00460C8F"/>
    <w:rsid w:val="00460E9A"/>
    <w:rsid w:val="0046232A"/>
    <w:rsid w:val="0046634E"/>
    <w:rsid w:val="0046719B"/>
    <w:rsid w:val="00467C15"/>
    <w:rsid w:val="004706EA"/>
    <w:rsid w:val="0047132A"/>
    <w:rsid w:val="00471BEE"/>
    <w:rsid w:val="00474000"/>
    <w:rsid w:val="00474D28"/>
    <w:rsid w:val="00475D46"/>
    <w:rsid w:val="00481020"/>
    <w:rsid w:val="0048457F"/>
    <w:rsid w:val="00495BBC"/>
    <w:rsid w:val="00497DE1"/>
    <w:rsid w:val="00497F4E"/>
    <w:rsid w:val="004A11B7"/>
    <w:rsid w:val="004A16B4"/>
    <w:rsid w:val="004A2787"/>
    <w:rsid w:val="004A3459"/>
    <w:rsid w:val="004A5F2A"/>
    <w:rsid w:val="004A6526"/>
    <w:rsid w:val="004A65F9"/>
    <w:rsid w:val="004B18D0"/>
    <w:rsid w:val="004B2A99"/>
    <w:rsid w:val="004B2C41"/>
    <w:rsid w:val="004B34C2"/>
    <w:rsid w:val="004B39D9"/>
    <w:rsid w:val="004B4D1A"/>
    <w:rsid w:val="004C0EAD"/>
    <w:rsid w:val="004C230D"/>
    <w:rsid w:val="004C4505"/>
    <w:rsid w:val="004C4EAF"/>
    <w:rsid w:val="004D289C"/>
    <w:rsid w:val="004D3E40"/>
    <w:rsid w:val="004D593A"/>
    <w:rsid w:val="004D63B9"/>
    <w:rsid w:val="004E096C"/>
    <w:rsid w:val="004E1B98"/>
    <w:rsid w:val="004E6D9F"/>
    <w:rsid w:val="004E7383"/>
    <w:rsid w:val="004E7A8A"/>
    <w:rsid w:val="004F1AEE"/>
    <w:rsid w:val="004F2371"/>
    <w:rsid w:val="004F2EEF"/>
    <w:rsid w:val="004F46C4"/>
    <w:rsid w:val="004F6B6E"/>
    <w:rsid w:val="004F74D2"/>
    <w:rsid w:val="004F7987"/>
    <w:rsid w:val="00501F20"/>
    <w:rsid w:val="0050387A"/>
    <w:rsid w:val="00503D32"/>
    <w:rsid w:val="00505138"/>
    <w:rsid w:val="00505829"/>
    <w:rsid w:val="00511C84"/>
    <w:rsid w:val="00513D3A"/>
    <w:rsid w:val="0052193B"/>
    <w:rsid w:val="0052301E"/>
    <w:rsid w:val="00524B9F"/>
    <w:rsid w:val="00524D2A"/>
    <w:rsid w:val="0053000C"/>
    <w:rsid w:val="0053074C"/>
    <w:rsid w:val="005340B5"/>
    <w:rsid w:val="0053474C"/>
    <w:rsid w:val="00535B9E"/>
    <w:rsid w:val="0053601E"/>
    <w:rsid w:val="0053668F"/>
    <w:rsid w:val="00542150"/>
    <w:rsid w:val="00543316"/>
    <w:rsid w:val="0054566C"/>
    <w:rsid w:val="0054580A"/>
    <w:rsid w:val="00547899"/>
    <w:rsid w:val="005533E0"/>
    <w:rsid w:val="00555875"/>
    <w:rsid w:val="00556225"/>
    <w:rsid w:val="005562D4"/>
    <w:rsid w:val="00557492"/>
    <w:rsid w:val="00557EF0"/>
    <w:rsid w:val="005601AF"/>
    <w:rsid w:val="00562791"/>
    <w:rsid w:val="00566951"/>
    <w:rsid w:val="00570428"/>
    <w:rsid w:val="00571733"/>
    <w:rsid w:val="00572F47"/>
    <w:rsid w:val="005736B7"/>
    <w:rsid w:val="00573B45"/>
    <w:rsid w:val="00574023"/>
    <w:rsid w:val="00576275"/>
    <w:rsid w:val="005762E5"/>
    <w:rsid w:val="00577E97"/>
    <w:rsid w:val="00580EF2"/>
    <w:rsid w:val="005810E3"/>
    <w:rsid w:val="005818BE"/>
    <w:rsid w:val="005830FD"/>
    <w:rsid w:val="005831BD"/>
    <w:rsid w:val="0058339D"/>
    <w:rsid w:val="00584DAB"/>
    <w:rsid w:val="00586445"/>
    <w:rsid w:val="0058670F"/>
    <w:rsid w:val="00592EDE"/>
    <w:rsid w:val="00593869"/>
    <w:rsid w:val="00595D52"/>
    <w:rsid w:val="0059606C"/>
    <w:rsid w:val="00597210"/>
    <w:rsid w:val="00597F7C"/>
    <w:rsid w:val="005A00E0"/>
    <w:rsid w:val="005A10EF"/>
    <w:rsid w:val="005A32F3"/>
    <w:rsid w:val="005A4334"/>
    <w:rsid w:val="005A4720"/>
    <w:rsid w:val="005A4DBE"/>
    <w:rsid w:val="005B3D90"/>
    <w:rsid w:val="005B425B"/>
    <w:rsid w:val="005B7A20"/>
    <w:rsid w:val="005C16C6"/>
    <w:rsid w:val="005C20F8"/>
    <w:rsid w:val="005C55B4"/>
    <w:rsid w:val="005C6AD9"/>
    <w:rsid w:val="005C70BE"/>
    <w:rsid w:val="005D329C"/>
    <w:rsid w:val="005D56AF"/>
    <w:rsid w:val="005E6C4B"/>
    <w:rsid w:val="005F0C31"/>
    <w:rsid w:val="005F1A11"/>
    <w:rsid w:val="005F30EE"/>
    <w:rsid w:val="005F41DE"/>
    <w:rsid w:val="005F5923"/>
    <w:rsid w:val="005F6347"/>
    <w:rsid w:val="00603A27"/>
    <w:rsid w:val="00604016"/>
    <w:rsid w:val="00604A88"/>
    <w:rsid w:val="006101A6"/>
    <w:rsid w:val="00612114"/>
    <w:rsid w:val="006144AB"/>
    <w:rsid w:val="006157D9"/>
    <w:rsid w:val="006162ED"/>
    <w:rsid w:val="00622ED0"/>
    <w:rsid w:val="00626030"/>
    <w:rsid w:val="00627EE6"/>
    <w:rsid w:val="0063188D"/>
    <w:rsid w:val="00633FFA"/>
    <w:rsid w:val="00635658"/>
    <w:rsid w:val="00636F7F"/>
    <w:rsid w:val="00640D92"/>
    <w:rsid w:val="00643BA7"/>
    <w:rsid w:val="00644713"/>
    <w:rsid w:val="00645FCE"/>
    <w:rsid w:val="00646029"/>
    <w:rsid w:val="00646449"/>
    <w:rsid w:val="006466D1"/>
    <w:rsid w:val="00651EE5"/>
    <w:rsid w:val="0065299A"/>
    <w:rsid w:val="00652AE1"/>
    <w:rsid w:val="00653E3C"/>
    <w:rsid w:val="00654F19"/>
    <w:rsid w:val="00657D21"/>
    <w:rsid w:val="00657F89"/>
    <w:rsid w:val="00661889"/>
    <w:rsid w:val="00662250"/>
    <w:rsid w:val="006624CB"/>
    <w:rsid w:val="00662B35"/>
    <w:rsid w:val="00662B89"/>
    <w:rsid w:val="00663404"/>
    <w:rsid w:val="006641FD"/>
    <w:rsid w:val="00664AB3"/>
    <w:rsid w:val="00665BE9"/>
    <w:rsid w:val="00666D4F"/>
    <w:rsid w:val="00667EAB"/>
    <w:rsid w:val="00670F34"/>
    <w:rsid w:val="00671190"/>
    <w:rsid w:val="00677584"/>
    <w:rsid w:val="00677B1B"/>
    <w:rsid w:val="0068059C"/>
    <w:rsid w:val="0068284F"/>
    <w:rsid w:val="00683681"/>
    <w:rsid w:val="00686FF6"/>
    <w:rsid w:val="0068729E"/>
    <w:rsid w:val="00696D49"/>
    <w:rsid w:val="006A01D7"/>
    <w:rsid w:val="006A0EC0"/>
    <w:rsid w:val="006A105F"/>
    <w:rsid w:val="006A1A2E"/>
    <w:rsid w:val="006A4916"/>
    <w:rsid w:val="006B136D"/>
    <w:rsid w:val="006B6EDB"/>
    <w:rsid w:val="006B72BB"/>
    <w:rsid w:val="006B7445"/>
    <w:rsid w:val="006C1448"/>
    <w:rsid w:val="006C346F"/>
    <w:rsid w:val="006C76BF"/>
    <w:rsid w:val="006D0339"/>
    <w:rsid w:val="006D096E"/>
    <w:rsid w:val="006D2127"/>
    <w:rsid w:val="006D265F"/>
    <w:rsid w:val="006D5B28"/>
    <w:rsid w:val="006E0C0B"/>
    <w:rsid w:val="006E294C"/>
    <w:rsid w:val="006E56D5"/>
    <w:rsid w:val="006F0488"/>
    <w:rsid w:val="006F0872"/>
    <w:rsid w:val="006F0BD2"/>
    <w:rsid w:val="006F14D1"/>
    <w:rsid w:val="006F40FA"/>
    <w:rsid w:val="006F4D87"/>
    <w:rsid w:val="006F4ED2"/>
    <w:rsid w:val="006F6C92"/>
    <w:rsid w:val="006F7688"/>
    <w:rsid w:val="007004E9"/>
    <w:rsid w:val="00700897"/>
    <w:rsid w:val="00701777"/>
    <w:rsid w:val="007022A9"/>
    <w:rsid w:val="007025A6"/>
    <w:rsid w:val="00703909"/>
    <w:rsid w:val="0070598A"/>
    <w:rsid w:val="0070698E"/>
    <w:rsid w:val="0070719F"/>
    <w:rsid w:val="00707374"/>
    <w:rsid w:val="007075C1"/>
    <w:rsid w:val="00707FB8"/>
    <w:rsid w:val="007105AD"/>
    <w:rsid w:val="00711391"/>
    <w:rsid w:val="00711F40"/>
    <w:rsid w:val="00712526"/>
    <w:rsid w:val="00714064"/>
    <w:rsid w:val="007142C6"/>
    <w:rsid w:val="00717184"/>
    <w:rsid w:val="00717A7B"/>
    <w:rsid w:val="0072067D"/>
    <w:rsid w:val="0072175C"/>
    <w:rsid w:val="007225C0"/>
    <w:rsid w:val="00725424"/>
    <w:rsid w:val="007258D3"/>
    <w:rsid w:val="00727DCA"/>
    <w:rsid w:val="007307D2"/>
    <w:rsid w:val="00734199"/>
    <w:rsid w:val="007368E5"/>
    <w:rsid w:val="007404BF"/>
    <w:rsid w:val="00742E42"/>
    <w:rsid w:val="00743E0E"/>
    <w:rsid w:val="00744B21"/>
    <w:rsid w:val="00744D79"/>
    <w:rsid w:val="007457A1"/>
    <w:rsid w:val="00745AB9"/>
    <w:rsid w:val="00745D00"/>
    <w:rsid w:val="00746B4C"/>
    <w:rsid w:val="00747C21"/>
    <w:rsid w:val="00753049"/>
    <w:rsid w:val="00753940"/>
    <w:rsid w:val="00755299"/>
    <w:rsid w:val="007575BA"/>
    <w:rsid w:val="007612C9"/>
    <w:rsid w:val="007613C4"/>
    <w:rsid w:val="007618B5"/>
    <w:rsid w:val="00761F23"/>
    <w:rsid w:val="0076247D"/>
    <w:rsid w:val="00763B3F"/>
    <w:rsid w:val="00765B6A"/>
    <w:rsid w:val="00770D52"/>
    <w:rsid w:val="007725AA"/>
    <w:rsid w:val="00772EF2"/>
    <w:rsid w:val="00774858"/>
    <w:rsid w:val="00774BEB"/>
    <w:rsid w:val="00775B66"/>
    <w:rsid w:val="00776505"/>
    <w:rsid w:val="00776E2A"/>
    <w:rsid w:val="00777CD7"/>
    <w:rsid w:val="00780856"/>
    <w:rsid w:val="00782702"/>
    <w:rsid w:val="007843DB"/>
    <w:rsid w:val="00785DCF"/>
    <w:rsid w:val="007861B3"/>
    <w:rsid w:val="00791767"/>
    <w:rsid w:val="00792627"/>
    <w:rsid w:val="007932C8"/>
    <w:rsid w:val="007977AE"/>
    <w:rsid w:val="00797B68"/>
    <w:rsid w:val="007A2256"/>
    <w:rsid w:val="007A238F"/>
    <w:rsid w:val="007A4A88"/>
    <w:rsid w:val="007A5C61"/>
    <w:rsid w:val="007A5FBC"/>
    <w:rsid w:val="007A7BA0"/>
    <w:rsid w:val="007A7E81"/>
    <w:rsid w:val="007B0289"/>
    <w:rsid w:val="007B1BD3"/>
    <w:rsid w:val="007B20B6"/>
    <w:rsid w:val="007B37AD"/>
    <w:rsid w:val="007B6098"/>
    <w:rsid w:val="007B732D"/>
    <w:rsid w:val="007B768D"/>
    <w:rsid w:val="007B7C35"/>
    <w:rsid w:val="007C2FDD"/>
    <w:rsid w:val="007C3EF2"/>
    <w:rsid w:val="007C66E9"/>
    <w:rsid w:val="007C69FF"/>
    <w:rsid w:val="007C716D"/>
    <w:rsid w:val="007C7652"/>
    <w:rsid w:val="007C7CD3"/>
    <w:rsid w:val="007D02FD"/>
    <w:rsid w:val="007D140A"/>
    <w:rsid w:val="007D1528"/>
    <w:rsid w:val="007D2F22"/>
    <w:rsid w:val="007D431F"/>
    <w:rsid w:val="007D5615"/>
    <w:rsid w:val="007D5E71"/>
    <w:rsid w:val="007D766E"/>
    <w:rsid w:val="007E2899"/>
    <w:rsid w:val="007E34D9"/>
    <w:rsid w:val="007E3603"/>
    <w:rsid w:val="007E635F"/>
    <w:rsid w:val="007E779F"/>
    <w:rsid w:val="007E7F67"/>
    <w:rsid w:val="007F245A"/>
    <w:rsid w:val="007F31C9"/>
    <w:rsid w:val="007F3A96"/>
    <w:rsid w:val="007F4E8D"/>
    <w:rsid w:val="007F6DDC"/>
    <w:rsid w:val="007F76FF"/>
    <w:rsid w:val="007F772D"/>
    <w:rsid w:val="00801C5B"/>
    <w:rsid w:val="00804F4E"/>
    <w:rsid w:val="00806817"/>
    <w:rsid w:val="0080779D"/>
    <w:rsid w:val="008109E6"/>
    <w:rsid w:val="00811CC6"/>
    <w:rsid w:val="008124EB"/>
    <w:rsid w:val="00815BD7"/>
    <w:rsid w:val="008170AE"/>
    <w:rsid w:val="00817578"/>
    <w:rsid w:val="008205F7"/>
    <w:rsid w:val="00821B49"/>
    <w:rsid w:val="0082361B"/>
    <w:rsid w:val="008256FC"/>
    <w:rsid w:val="008273D2"/>
    <w:rsid w:val="00827B71"/>
    <w:rsid w:val="00827D7C"/>
    <w:rsid w:val="00832128"/>
    <w:rsid w:val="00832396"/>
    <w:rsid w:val="00832E45"/>
    <w:rsid w:val="008336D4"/>
    <w:rsid w:val="008347B9"/>
    <w:rsid w:val="00835FF9"/>
    <w:rsid w:val="00836C6B"/>
    <w:rsid w:val="00836CF7"/>
    <w:rsid w:val="00837D01"/>
    <w:rsid w:val="00837E94"/>
    <w:rsid w:val="00841A0E"/>
    <w:rsid w:val="00841AC7"/>
    <w:rsid w:val="0084356C"/>
    <w:rsid w:val="00845779"/>
    <w:rsid w:val="0084645C"/>
    <w:rsid w:val="008475A7"/>
    <w:rsid w:val="00854A95"/>
    <w:rsid w:val="00854EF5"/>
    <w:rsid w:val="00855559"/>
    <w:rsid w:val="00857169"/>
    <w:rsid w:val="008578B7"/>
    <w:rsid w:val="00857D84"/>
    <w:rsid w:val="00862B29"/>
    <w:rsid w:val="00862FF1"/>
    <w:rsid w:val="00865057"/>
    <w:rsid w:val="008658E1"/>
    <w:rsid w:val="00866AC9"/>
    <w:rsid w:val="00870F9F"/>
    <w:rsid w:val="00871961"/>
    <w:rsid w:val="008719E8"/>
    <w:rsid w:val="00871A6A"/>
    <w:rsid w:val="00871D33"/>
    <w:rsid w:val="0087369F"/>
    <w:rsid w:val="0087541F"/>
    <w:rsid w:val="00875E8F"/>
    <w:rsid w:val="00876DA4"/>
    <w:rsid w:val="00877308"/>
    <w:rsid w:val="00881E14"/>
    <w:rsid w:val="00884A28"/>
    <w:rsid w:val="008865B2"/>
    <w:rsid w:val="00886BA5"/>
    <w:rsid w:val="0088716C"/>
    <w:rsid w:val="008900BC"/>
    <w:rsid w:val="00890344"/>
    <w:rsid w:val="008917B1"/>
    <w:rsid w:val="00891E03"/>
    <w:rsid w:val="00893159"/>
    <w:rsid w:val="008947DA"/>
    <w:rsid w:val="00895B46"/>
    <w:rsid w:val="00896C3F"/>
    <w:rsid w:val="008A0A71"/>
    <w:rsid w:val="008A21C4"/>
    <w:rsid w:val="008A50EA"/>
    <w:rsid w:val="008A68D2"/>
    <w:rsid w:val="008A7043"/>
    <w:rsid w:val="008A759E"/>
    <w:rsid w:val="008A789B"/>
    <w:rsid w:val="008B1B34"/>
    <w:rsid w:val="008B1DBD"/>
    <w:rsid w:val="008B356A"/>
    <w:rsid w:val="008B39DB"/>
    <w:rsid w:val="008B4F3C"/>
    <w:rsid w:val="008B5418"/>
    <w:rsid w:val="008B63E1"/>
    <w:rsid w:val="008B64AB"/>
    <w:rsid w:val="008B7B0B"/>
    <w:rsid w:val="008C125B"/>
    <w:rsid w:val="008C1D99"/>
    <w:rsid w:val="008C3815"/>
    <w:rsid w:val="008C38FE"/>
    <w:rsid w:val="008C4116"/>
    <w:rsid w:val="008C4335"/>
    <w:rsid w:val="008C67D3"/>
    <w:rsid w:val="008C67E4"/>
    <w:rsid w:val="008C6D4F"/>
    <w:rsid w:val="008D1A2A"/>
    <w:rsid w:val="008D4C5D"/>
    <w:rsid w:val="008D4EAD"/>
    <w:rsid w:val="008D60C9"/>
    <w:rsid w:val="008D685D"/>
    <w:rsid w:val="008D76B2"/>
    <w:rsid w:val="008E11F3"/>
    <w:rsid w:val="008E1697"/>
    <w:rsid w:val="008E3E5B"/>
    <w:rsid w:val="008E733E"/>
    <w:rsid w:val="008E7ADE"/>
    <w:rsid w:val="008F4437"/>
    <w:rsid w:val="008F6F37"/>
    <w:rsid w:val="008F783F"/>
    <w:rsid w:val="00901974"/>
    <w:rsid w:val="00901FD2"/>
    <w:rsid w:val="00903754"/>
    <w:rsid w:val="00904AC1"/>
    <w:rsid w:val="0090599E"/>
    <w:rsid w:val="00906229"/>
    <w:rsid w:val="0090731B"/>
    <w:rsid w:val="0091048D"/>
    <w:rsid w:val="00910827"/>
    <w:rsid w:val="00910E62"/>
    <w:rsid w:val="00912436"/>
    <w:rsid w:val="00912DB5"/>
    <w:rsid w:val="00913104"/>
    <w:rsid w:val="009170E5"/>
    <w:rsid w:val="00920532"/>
    <w:rsid w:val="00921311"/>
    <w:rsid w:val="00924177"/>
    <w:rsid w:val="00924A2D"/>
    <w:rsid w:val="0092634D"/>
    <w:rsid w:val="0092728E"/>
    <w:rsid w:val="00927D0A"/>
    <w:rsid w:val="0093029F"/>
    <w:rsid w:val="00934946"/>
    <w:rsid w:val="00935766"/>
    <w:rsid w:val="009401B2"/>
    <w:rsid w:val="009407A3"/>
    <w:rsid w:val="00941C42"/>
    <w:rsid w:val="00942A1B"/>
    <w:rsid w:val="009439AE"/>
    <w:rsid w:val="009440B7"/>
    <w:rsid w:val="00945751"/>
    <w:rsid w:val="00946730"/>
    <w:rsid w:val="00950B35"/>
    <w:rsid w:val="00950BF2"/>
    <w:rsid w:val="0095152D"/>
    <w:rsid w:val="00952DED"/>
    <w:rsid w:val="009551C8"/>
    <w:rsid w:val="0095571F"/>
    <w:rsid w:val="00956484"/>
    <w:rsid w:val="00956EE3"/>
    <w:rsid w:val="00961EDD"/>
    <w:rsid w:val="009628D5"/>
    <w:rsid w:val="00963267"/>
    <w:rsid w:val="00965143"/>
    <w:rsid w:val="009652E4"/>
    <w:rsid w:val="00965504"/>
    <w:rsid w:val="00967EB6"/>
    <w:rsid w:val="0097256D"/>
    <w:rsid w:val="009725D1"/>
    <w:rsid w:val="00972F50"/>
    <w:rsid w:val="00975035"/>
    <w:rsid w:val="0097589E"/>
    <w:rsid w:val="00977875"/>
    <w:rsid w:val="00977D9F"/>
    <w:rsid w:val="00977F90"/>
    <w:rsid w:val="0098036A"/>
    <w:rsid w:val="00980D4F"/>
    <w:rsid w:val="00982FAF"/>
    <w:rsid w:val="0098430D"/>
    <w:rsid w:val="009844E4"/>
    <w:rsid w:val="00984B71"/>
    <w:rsid w:val="00985E96"/>
    <w:rsid w:val="00986E54"/>
    <w:rsid w:val="009910B8"/>
    <w:rsid w:val="0099207D"/>
    <w:rsid w:val="009932C2"/>
    <w:rsid w:val="009939D8"/>
    <w:rsid w:val="0099410E"/>
    <w:rsid w:val="0099575C"/>
    <w:rsid w:val="009A1035"/>
    <w:rsid w:val="009A1297"/>
    <w:rsid w:val="009A1F84"/>
    <w:rsid w:val="009A3D46"/>
    <w:rsid w:val="009A564C"/>
    <w:rsid w:val="009A5AD5"/>
    <w:rsid w:val="009A62B2"/>
    <w:rsid w:val="009A6D64"/>
    <w:rsid w:val="009A6F38"/>
    <w:rsid w:val="009A7572"/>
    <w:rsid w:val="009A76A1"/>
    <w:rsid w:val="009A7895"/>
    <w:rsid w:val="009A7CBF"/>
    <w:rsid w:val="009B0C26"/>
    <w:rsid w:val="009B0E63"/>
    <w:rsid w:val="009B77C7"/>
    <w:rsid w:val="009C0989"/>
    <w:rsid w:val="009C26D9"/>
    <w:rsid w:val="009C4033"/>
    <w:rsid w:val="009C7957"/>
    <w:rsid w:val="009D10C2"/>
    <w:rsid w:val="009D2A05"/>
    <w:rsid w:val="009D2C83"/>
    <w:rsid w:val="009D2EE7"/>
    <w:rsid w:val="009D3FDC"/>
    <w:rsid w:val="009E04FD"/>
    <w:rsid w:val="009E0695"/>
    <w:rsid w:val="009E07A4"/>
    <w:rsid w:val="009E14A6"/>
    <w:rsid w:val="009E17C2"/>
    <w:rsid w:val="009E1CA4"/>
    <w:rsid w:val="009E5421"/>
    <w:rsid w:val="009E5B96"/>
    <w:rsid w:val="009E5D64"/>
    <w:rsid w:val="009F00D7"/>
    <w:rsid w:val="009F14BB"/>
    <w:rsid w:val="009F1733"/>
    <w:rsid w:val="009F4676"/>
    <w:rsid w:val="00A003FE"/>
    <w:rsid w:val="00A00AAB"/>
    <w:rsid w:val="00A00C3E"/>
    <w:rsid w:val="00A01156"/>
    <w:rsid w:val="00A02114"/>
    <w:rsid w:val="00A0334D"/>
    <w:rsid w:val="00A03D4A"/>
    <w:rsid w:val="00A05379"/>
    <w:rsid w:val="00A05AB6"/>
    <w:rsid w:val="00A06ECB"/>
    <w:rsid w:val="00A070F7"/>
    <w:rsid w:val="00A100CF"/>
    <w:rsid w:val="00A107C1"/>
    <w:rsid w:val="00A129AB"/>
    <w:rsid w:val="00A130F0"/>
    <w:rsid w:val="00A14921"/>
    <w:rsid w:val="00A14F3A"/>
    <w:rsid w:val="00A16729"/>
    <w:rsid w:val="00A169DF"/>
    <w:rsid w:val="00A16F96"/>
    <w:rsid w:val="00A17D02"/>
    <w:rsid w:val="00A207D9"/>
    <w:rsid w:val="00A21F7A"/>
    <w:rsid w:val="00A22D6B"/>
    <w:rsid w:val="00A23AF0"/>
    <w:rsid w:val="00A24C5A"/>
    <w:rsid w:val="00A24D24"/>
    <w:rsid w:val="00A24E52"/>
    <w:rsid w:val="00A30366"/>
    <w:rsid w:val="00A33DA5"/>
    <w:rsid w:val="00A33EA0"/>
    <w:rsid w:val="00A35271"/>
    <w:rsid w:val="00A40942"/>
    <w:rsid w:val="00A40F63"/>
    <w:rsid w:val="00A41857"/>
    <w:rsid w:val="00A42B29"/>
    <w:rsid w:val="00A432DA"/>
    <w:rsid w:val="00A44476"/>
    <w:rsid w:val="00A4524E"/>
    <w:rsid w:val="00A471F2"/>
    <w:rsid w:val="00A51A63"/>
    <w:rsid w:val="00A55811"/>
    <w:rsid w:val="00A55977"/>
    <w:rsid w:val="00A566E8"/>
    <w:rsid w:val="00A5737F"/>
    <w:rsid w:val="00A60A93"/>
    <w:rsid w:val="00A60F09"/>
    <w:rsid w:val="00A60F22"/>
    <w:rsid w:val="00A6117D"/>
    <w:rsid w:val="00A673FF"/>
    <w:rsid w:val="00A67EEA"/>
    <w:rsid w:val="00A72BFD"/>
    <w:rsid w:val="00A742F3"/>
    <w:rsid w:val="00A75FC9"/>
    <w:rsid w:val="00A77412"/>
    <w:rsid w:val="00A81793"/>
    <w:rsid w:val="00A825BD"/>
    <w:rsid w:val="00A82697"/>
    <w:rsid w:val="00A82F44"/>
    <w:rsid w:val="00A83073"/>
    <w:rsid w:val="00A83A08"/>
    <w:rsid w:val="00A83F88"/>
    <w:rsid w:val="00A90409"/>
    <w:rsid w:val="00A9100A"/>
    <w:rsid w:val="00A91E73"/>
    <w:rsid w:val="00A973D7"/>
    <w:rsid w:val="00AA018A"/>
    <w:rsid w:val="00AA4A04"/>
    <w:rsid w:val="00AA6016"/>
    <w:rsid w:val="00AB23AC"/>
    <w:rsid w:val="00AB23BE"/>
    <w:rsid w:val="00AB32EB"/>
    <w:rsid w:val="00AB3D60"/>
    <w:rsid w:val="00AB6516"/>
    <w:rsid w:val="00AB6876"/>
    <w:rsid w:val="00AB73BC"/>
    <w:rsid w:val="00AC0D64"/>
    <w:rsid w:val="00AC11BB"/>
    <w:rsid w:val="00AC18FF"/>
    <w:rsid w:val="00AC1B1D"/>
    <w:rsid w:val="00AC3AF7"/>
    <w:rsid w:val="00AC755E"/>
    <w:rsid w:val="00AC7B11"/>
    <w:rsid w:val="00AD17EA"/>
    <w:rsid w:val="00AD2736"/>
    <w:rsid w:val="00AD46A7"/>
    <w:rsid w:val="00AD6567"/>
    <w:rsid w:val="00AD7FCF"/>
    <w:rsid w:val="00AE1252"/>
    <w:rsid w:val="00AE157C"/>
    <w:rsid w:val="00AE1AAF"/>
    <w:rsid w:val="00AE330E"/>
    <w:rsid w:val="00AE6325"/>
    <w:rsid w:val="00AE6648"/>
    <w:rsid w:val="00AE68D9"/>
    <w:rsid w:val="00AE6C6E"/>
    <w:rsid w:val="00AF2AE7"/>
    <w:rsid w:val="00AF2C55"/>
    <w:rsid w:val="00AF52D3"/>
    <w:rsid w:val="00AF5C63"/>
    <w:rsid w:val="00AF774F"/>
    <w:rsid w:val="00B02552"/>
    <w:rsid w:val="00B0666F"/>
    <w:rsid w:val="00B06683"/>
    <w:rsid w:val="00B115E5"/>
    <w:rsid w:val="00B131B3"/>
    <w:rsid w:val="00B13CA7"/>
    <w:rsid w:val="00B27115"/>
    <w:rsid w:val="00B303BA"/>
    <w:rsid w:val="00B3061D"/>
    <w:rsid w:val="00B32F8A"/>
    <w:rsid w:val="00B4111A"/>
    <w:rsid w:val="00B41F05"/>
    <w:rsid w:val="00B46226"/>
    <w:rsid w:val="00B46652"/>
    <w:rsid w:val="00B46F08"/>
    <w:rsid w:val="00B47DE2"/>
    <w:rsid w:val="00B509F2"/>
    <w:rsid w:val="00B50B61"/>
    <w:rsid w:val="00B51AF8"/>
    <w:rsid w:val="00B51E34"/>
    <w:rsid w:val="00B521A7"/>
    <w:rsid w:val="00B52EFB"/>
    <w:rsid w:val="00B52F14"/>
    <w:rsid w:val="00B53B73"/>
    <w:rsid w:val="00B545A1"/>
    <w:rsid w:val="00B564B8"/>
    <w:rsid w:val="00B57EB9"/>
    <w:rsid w:val="00B60FB3"/>
    <w:rsid w:val="00B65AC5"/>
    <w:rsid w:val="00B71854"/>
    <w:rsid w:val="00B7446A"/>
    <w:rsid w:val="00B747C2"/>
    <w:rsid w:val="00B7482E"/>
    <w:rsid w:val="00B7705E"/>
    <w:rsid w:val="00B7715D"/>
    <w:rsid w:val="00B81FC7"/>
    <w:rsid w:val="00B823AE"/>
    <w:rsid w:val="00B82827"/>
    <w:rsid w:val="00B82925"/>
    <w:rsid w:val="00B8390B"/>
    <w:rsid w:val="00B84853"/>
    <w:rsid w:val="00B90EB0"/>
    <w:rsid w:val="00B91DC1"/>
    <w:rsid w:val="00B938F5"/>
    <w:rsid w:val="00B97155"/>
    <w:rsid w:val="00B972A5"/>
    <w:rsid w:val="00BA012A"/>
    <w:rsid w:val="00BA0912"/>
    <w:rsid w:val="00BA1C49"/>
    <w:rsid w:val="00BA53F1"/>
    <w:rsid w:val="00BA5FC5"/>
    <w:rsid w:val="00BA632B"/>
    <w:rsid w:val="00BB0703"/>
    <w:rsid w:val="00BB15D1"/>
    <w:rsid w:val="00BB17B2"/>
    <w:rsid w:val="00BB27FF"/>
    <w:rsid w:val="00BB2C2E"/>
    <w:rsid w:val="00BB2D6B"/>
    <w:rsid w:val="00BB3D4A"/>
    <w:rsid w:val="00BB49D4"/>
    <w:rsid w:val="00BB618A"/>
    <w:rsid w:val="00BC1CCC"/>
    <w:rsid w:val="00BC1D77"/>
    <w:rsid w:val="00BC26C3"/>
    <w:rsid w:val="00BC759A"/>
    <w:rsid w:val="00BD34FF"/>
    <w:rsid w:val="00BD58C6"/>
    <w:rsid w:val="00BD68CE"/>
    <w:rsid w:val="00BD76A3"/>
    <w:rsid w:val="00BE0F8E"/>
    <w:rsid w:val="00BE115F"/>
    <w:rsid w:val="00BE1BA1"/>
    <w:rsid w:val="00BE3199"/>
    <w:rsid w:val="00BE4591"/>
    <w:rsid w:val="00BE71C3"/>
    <w:rsid w:val="00BE7519"/>
    <w:rsid w:val="00BE7BEA"/>
    <w:rsid w:val="00BF042A"/>
    <w:rsid w:val="00BF1AC6"/>
    <w:rsid w:val="00BF251F"/>
    <w:rsid w:val="00BF6A12"/>
    <w:rsid w:val="00BF7D72"/>
    <w:rsid w:val="00C00953"/>
    <w:rsid w:val="00C00FA8"/>
    <w:rsid w:val="00C039A8"/>
    <w:rsid w:val="00C04A8F"/>
    <w:rsid w:val="00C069AF"/>
    <w:rsid w:val="00C0722E"/>
    <w:rsid w:val="00C10A3F"/>
    <w:rsid w:val="00C1274C"/>
    <w:rsid w:val="00C130DB"/>
    <w:rsid w:val="00C172E4"/>
    <w:rsid w:val="00C22DDD"/>
    <w:rsid w:val="00C231D5"/>
    <w:rsid w:val="00C23520"/>
    <w:rsid w:val="00C25020"/>
    <w:rsid w:val="00C31363"/>
    <w:rsid w:val="00C33B4D"/>
    <w:rsid w:val="00C36451"/>
    <w:rsid w:val="00C36954"/>
    <w:rsid w:val="00C4053C"/>
    <w:rsid w:val="00C40795"/>
    <w:rsid w:val="00C4091D"/>
    <w:rsid w:val="00C41D95"/>
    <w:rsid w:val="00C42964"/>
    <w:rsid w:val="00C42B3E"/>
    <w:rsid w:val="00C46C9D"/>
    <w:rsid w:val="00C47020"/>
    <w:rsid w:val="00C47122"/>
    <w:rsid w:val="00C52256"/>
    <w:rsid w:val="00C52862"/>
    <w:rsid w:val="00C52D28"/>
    <w:rsid w:val="00C550F6"/>
    <w:rsid w:val="00C56468"/>
    <w:rsid w:val="00C56C0B"/>
    <w:rsid w:val="00C57403"/>
    <w:rsid w:val="00C61E97"/>
    <w:rsid w:val="00C625B6"/>
    <w:rsid w:val="00C62AA1"/>
    <w:rsid w:val="00C63D8A"/>
    <w:rsid w:val="00C65615"/>
    <w:rsid w:val="00C65B3D"/>
    <w:rsid w:val="00C67BA2"/>
    <w:rsid w:val="00C703AB"/>
    <w:rsid w:val="00C7069E"/>
    <w:rsid w:val="00C718D0"/>
    <w:rsid w:val="00C7317D"/>
    <w:rsid w:val="00C737B8"/>
    <w:rsid w:val="00C75737"/>
    <w:rsid w:val="00C75854"/>
    <w:rsid w:val="00C76258"/>
    <w:rsid w:val="00C80691"/>
    <w:rsid w:val="00C80AA2"/>
    <w:rsid w:val="00C810D5"/>
    <w:rsid w:val="00C82F43"/>
    <w:rsid w:val="00C838EE"/>
    <w:rsid w:val="00C85283"/>
    <w:rsid w:val="00C86137"/>
    <w:rsid w:val="00C86F2B"/>
    <w:rsid w:val="00C874EA"/>
    <w:rsid w:val="00C92253"/>
    <w:rsid w:val="00C957D1"/>
    <w:rsid w:val="00C969A4"/>
    <w:rsid w:val="00CA076E"/>
    <w:rsid w:val="00CA1C84"/>
    <w:rsid w:val="00CA6128"/>
    <w:rsid w:val="00CA7A3D"/>
    <w:rsid w:val="00CA7CFD"/>
    <w:rsid w:val="00CB05BB"/>
    <w:rsid w:val="00CB106A"/>
    <w:rsid w:val="00CB1482"/>
    <w:rsid w:val="00CB1FFD"/>
    <w:rsid w:val="00CB2661"/>
    <w:rsid w:val="00CB2EF1"/>
    <w:rsid w:val="00CB3D44"/>
    <w:rsid w:val="00CB4746"/>
    <w:rsid w:val="00CB7813"/>
    <w:rsid w:val="00CB796C"/>
    <w:rsid w:val="00CB7DAC"/>
    <w:rsid w:val="00CC020C"/>
    <w:rsid w:val="00CC1779"/>
    <w:rsid w:val="00CC464A"/>
    <w:rsid w:val="00CC5DA8"/>
    <w:rsid w:val="00CC690D"/>
    <w:rsid w:val="00CC6B47"/>
    <w:rsid w:val="00CD11CA"/>
    <w:rsid w:val="00CD4D03"/>
    <w:rsid w:val="00CD65F3"/>
    <w:rsid w:val="00CE0000"/>
    <w:rsid w:val="00CE0157"/>
    <w:rsid w:val="00CE2E28"/>
    <w:rsid w:val="00CE4448"/>
    <w:rsid w:val="00CE5E71"/>
    <w:rsid w:val="00CE6DB4"/>
    <w:rsid w:val="00CF0427"/>
    <w:rsid w:val="00CF43E6"/>
    <w:rsid w:val="00CF5AB0"/>
    <w:rsid w:val="00CF6243"/>
    <w:rsid w:val="00CF692D"/>
    <w:rsid w:val="00CF6BB9"/>
    <w:rsid w:val="00CF6CCC"/>
    <w:rsid w:val="00D00EAC"/>
    <w:rsid w:val="00D03052"/>
    <w:rsid w:val="00D0344D"/>
    <w:rsid w:val="00D046C6"/>
    <w:rsid w:val="00D07EBF"/>
    <w:rsid w:val="00D100A1"/>
    <w:rsid w:val="00D105DF"/>
    <w:rsid w:val="00D1150E"/>
    <w:rsid w:val="00D12151"/>
    <w:rsid w:val="00D1243A"/>
    <w:rsid w:val="00D12466"/>
    <w:rsid w:val="00D13398"/>
    <w:rsid w:val="00D154D4"/>
    <w:rsid w:val="00D16B9B"/>
    <w:rsid w:val="00D20657"/>
    <w:rsid w:val="00D273D7"/>
    <w:rsid w:val="00D30774"/>
    <w:rsid w:val="00D30D54"/>
    <w:rsid w:val="00D310C5"/>
    <w:rsid w:val="00D33962"/>
    <w:rsid w:val="00D34A75"/>
    <w:rsid w:val="00D34F73"/>
    <w:rsid w:val="00D375CE"/>
    <w:rsid w:val="00D37A74"/>
    <w:rsid w:val="00D40D09"/>
    <w:rsid w:val="00D41B2E"/>
    <w:rsid w:val="00D43A04"/>
    <w:rsid w:val="00D4669B"/>
    <w:rsid w:val="00D479B0"/>
    <w:rsid w:val="00D47F47"/>
    <w:rsid w:val="00D5009A"/>
    <w:rsid w:val="00D51B48"/>
    <w:rsid w:val="00D5593C"/>
    <w:rsid w:val="00D57038"/>
    <w:rsid w:val="00D57B14"/>
    <w:rsid w:val="00D6266F"/>
    <w:rsid w:val="00D627E8"/>
    <w:rsid w:val="00D66A84"/>
    <w:rsid w:val="00D67E2F"/>
    <w:rsid w:val="00D737DE"/>
    <w:rsid w:val="00D75555"/>
    <w:rsid w:val="00D75DC9"/>
    <w:rsid w:val="00D773AF"/>
    <w:rsid w:val="00D77FE0"/>
    <w:rsid w:val="00D81FE1"/>
    <w:rsid w:val="00D854CC"/>
    <w:rsid w:val="00D85503"/>
    <w:rsid w:val="00D85C87"/>
    <w:rsid w:val="00D86E5D"/>
    <w:rsid w:val="00D90BCA"/>
    <w:rsid w:val="00D90E4B"/>
    <w:rsid w:val="00D90F0C"/>
    <w:rsid w:val="00D9361A"/>
    <w:rsid w:val="00D97831"/>
    <w:rsid w:val="00D97EEC"/>
    <w:rsid w:val="00DA27F6"/>
    <w:rsid w:val="00DA2B27"/>
    <w:rsid w:val="00DA2BF0"/>
    <w:rsid w:val="00DA38D0"/>
    <w:rsid w:val="00DA3D5E"/>
    <w:rsid w:val="00DB0A5D"/>
    <w:rsid w:val="00DB0C44"/>
    <w:rsid w:val="00DB0CDA"/>
    <w:rsid w:val="00DB299F"/>
    <w:rsid w:val="00DB3FB6"/>
    <w:rsid w:val="00DB4C16"/>
    <w:rsid w:val="00DB6366"/>
    <w:rsid w:val="00DB64E5"/>
    <w:rsid w:val="00DB7541"/>
    <w:rsid w:val="00DB7DF3"/>
    <w:rsid w:val="00DC16AE"/>
    <w:rsid w:val="00DC1D61"/>
    <w:rsid w:val="00DC2EC1"/>
    <w:rsid w:val="00DC3292"/>
    <w:rsid w:val="00DC6CE9"/>
    <w:rsid w:val="00DC72D4"/>
    <w:rsid w:val="00DD1A26"/>
    <w:rsid w:val="00DD3A77"/>
    <w:rsid w:val="00DD72A2"/>
    <w:rsid w:val="00DE21AD"/>
    <w:rsid w:val="00DE515D"/>
    <w:rsid w:val="00DE625C"/>
    <w:rsid w:val="00DE6CC5"/>
    <w:rsid w:val="00DF0401"/>
    <w:rsid w:val="00DF1D6E"/>
    <w:rsid w:val="00DF45BA"/>
    <w:rsid w:val="00DF7B2D"/>
    <w:rsid w:val="00E0324B"/>
    <w:rsid w:val="00E03413"/>
    <w:rsid w:val="00E0389A"/>
    <w:rsid w:val="00E04BED"/>
    <w:rsid w:val="00E07A57"/>
    <w:rsid w:val="00E10480"/>
    <w:rsid w:val="00E111AF"/>
    <w:rsid w:val="00E14380"/>
    <w:rsid w:val="00E2082F"/>
    <w:rsid w:val="00E20C01"/>
    <w:rsid w:val="00E22433"/>
    <w:rsid w:val="00E23D2C"/>
    <w:rsid w:val="00E24648"/>
    <w:rsid w:val="00E256D6"/>
    <w:rsid w:val="00E2754C"/>
    <w:rsid w:val="00E31C58"/>
    <w:rsid w:val="00E32158"/>
    <w:rsid w:val="00E327D9"/>
    <w:rsid w:val="00E36473"/>
    <w:rsid w:val="00E4042E"/>
    <w:rsid w:val="00E40DF2"/>
    <w:rsid w:val="00E4217D"/>
    <w:rsid w:val="00E43FE8"/>
    <w:rsid w:val="00E44175"/>
    <w:rsid w:val="00E472DF"/>
    <w:rsid w:val="00E51182"/>
    <w:rsid w:val="00E516C3"/>
    <w:rsid w:val="00E54737"/>
    <w:rsid w:val="00E615D1"/>
    <w:rsid w:val="00E62FC8"/>
    <w:rsid w:val="00E65800"/>
    <w:rsid w:val="00E67BE5"/>
    <w:rsid w:val="00E71020"/>
    <w:rsid w:val="00E71566"/>
    <w:rsid w:val="00E721E8"/>
    <w:rsid w:val="00E72EC4"/>
    <w:rsid w:val="00E750FE"/>
    <w:rsid w:val="00E7587B"/>
    <w:rsid w:val="00E8040C"/>
    <w:rsid w:val="00E8601D"/>
    <w:rsid w:val="00E86FB6"/>
    <w:rsid w:val="00E90B5A"/>
    <w:rsid w:val="00E90F25"/>
    <w:rsid w:val="00E916AB"/>
    <w:rsid w:val="00E961DE"/>
    <w:rsid w:val="00E96AE8"/>
    <w:rsid w:val="00E96B4E"/>
    <w:rsid w:val="00E97F20"/>
    <w:rsid w:val="00EA0852"/>
    <w:rsid w:val="00EA0926"/>
    <w:rsid w:val="00EA5140"/>
    <w:rsid w:val="00EA585F"/>
    <w:rsid w:val="00EA5C7E"/>
    <w:rsid w:val="00EA7DB9"/>
    <w:rsid w:val="00EB2136"/>
    <w:rsid w:val="00EB3852"/>
    <w:rsid w:val="00EB39B8"/>
    <w:rsid w:val="00EB7783"/>
    <w:rsid w:val="00EC2820"/>
    <w:rsid w:val="00EC50FE"/>
    <w:rsid w:val="00EC6693"/>
    <w:rsid w:val="00ED0911"/>
    <w:rsid w:val="00ED1BAA"/>
    <w:rsid w:val="00ED34AB"/>
    <w:rsid w:val="00ED59C9"/>
    <w:rsid w:val="00EF38A7"/>
    <w:rsid w:val="00EF6F31"/>
    <w:rsid w:val="00F0036C"/>
    <w:rsid w:val="00F00D83"/>
    <w:rsid w:val="00F0143A"/>
    <w:rsid w:val="00F01697"/>
    <w:rsid w:val="00F03A00"/>
    <w:rsid w:val="00F07153"/>
    <w:rsid w:val="00F07F36"/>
    <w:rsid w:val="00F10416"/>
    <w:rsid w:val="00F10B5F"/>
    <w:rsid w:val="00F10CEA"/>
    <w:rsid w:val="00F11CC3"/>
    <w:rsid w:val="00F11D3F"/>
    <w:rsid w:val="00F12462"/>
    <w:rsid w:val="00F12962"/>
    <w:rsid w:val="00F12F53"/>
    <w:rsid w:val="00F13A65"/>
    <w:rsid w:val="00F13F88"/>
    <w:rsid w:val="00F1440D"/>
    <w:rsid w:val="00F146D5"/>
    <w:rsid w:val="00F1490B"/>
    <w:rsid w:val="00F14ADC"/>
    <w:rsid w:val="00F16235"/>
    <w:rsid w:val="00F17BA1"/>
    <w:rsid w:val="00F22FDF"/>
    <w:rsid w:val="00F2586A"/>
    <w:rsid w:val="00F259B8"/>
    <w:rsid w:val="00F31D31"/>
    <w:rsid w:val="00F36327"/>
    <w:rsid w:val="00F4069F"/>
    <w:rsid w:val="00F411C4"/>
    <w:rsid w:val="00F42706"/>
    <w:rsid w:val="00F4341D"/>
    <w:rsid w:val="00F43441"/>
    <w:rsid w:val="00F4444E"/>
    <w:rsid w:val="00F4597A"/>
    <w:rsid w:val="00F459BC"/>
    <w:rsid w:val="00F45CE1"/>
    <w:rsid w:val="00F46C16"/>
    <w:rsid w:val="00F51386"/>
    <w:rsid w:val="00F54776"/>
    <w:rsid w:val="00F5478D"/>
    <w:rsid w:val="00F60C8E"/>
    <w:rsid w:val="00F61F49"/>
    <w:rsid w:val="00F63B19"/>
    <w:rsid w:val="00F6697C"/>
    <w:rsid w:val="00F7248B"/>
    <w:rsid w:val="00F72A69"/>
    <w:rsid w:val="00F733A3"/>
    <w:rsid w:val="00F74404"/>
    <w:rsid w:val="00F7579C"/>
    <w:rsid w:val="00F75EBA"/>
    <w:rsid w:val="00F81185"/>
    <w:rsid w:val="00F8213F"/>
    <w:rsid w:val="00F8272C"/>
    <w:rsid w:val="00F828D3"/>
    <w:rsid w:val="00F82D21"/>
    <w:rsid w:val="00F83403"/>
    <w:rsid w:val="00F849F6"/>
    <w:rsid w:val="00F86323"/>
    <w:rsid w:val="00F86345"/>
    <w:rsid w:val="00F874DE"/>
    <w:rsid w:val="00F87E7E"/>
    <w:rsid w:val="00F9198D"/>
    <w:rsid w:val="00F92A35"/>
    <w:rsid w:val="00F93F3B"/>
    <w:rsid w:val="00F96137"/>
    <w:rsid w:val="00FA1031"/>
    <w:rsid w:val="00FA143C"/>
    <w:rsid w:val="00FA1971"/>
    <w:rsid w:val="00FA6F1B"/>
    <w:rsid w:val="00FB113B"/>
    <w:rsid w:val="00FB3BE5"/>
    <w:rsid w:val="00FB4679"/>
    <w:rsid w:val="00FB5ACA"/>
    <w:rsid w:val="00FC0396"/>
    <w:rsid w:val="00FC2AED"/>
    <w:rsid w:val="00FC3A07"/>
    <w:rsid w:val="00FC4898"/>
    <w:rsid w:val="00FC5714"/>
    <w:rsid w:val="00FC5FE7"/>
    <w:rsid w:val="00FC64A9"/>
    <w:rsid w:val="00FC7638"/>
    <w:rsid w:val="00FD2869"/>
    <w:rsid w:val="00FD3A5E"/>
    <w:rsid w:val="00FD6CAD"/>
    <w:rsid w:val="00FD7FAC"/>
    <w:rsid w:val="00FE20D9"/>
    <w:rsid w:val="00FE485B"/>
    <w:rsid w:val="00FE5293"/>
    <w:rsid w:val="00FE557F"/>
    <w:rsid w:val="00FF2321"/>
    <w:rsid w:val="00FF305F"/>
    <w:rsid w:val="00FF31DB"/>
    <w:rsid w:val="00FF445E"/>
    <w:rsid w:val="00FF5388"/>
    <w:rsid w:val="00FF5A46"/>
    <w:rsid w:val="00FF5C47"/>
    <w:rsid w:val="00FF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fillcolor="silver" stroke="f">
      <v:fill color="silver" opacity="22938f"/>
      <v:stroke on="f"/>
      <v:shadow color="#868686"/>
      <o:colormru v:ext="edit" colors="#e2e2e2,#f5f5f5,#f1f1f1,#c1c1c1,#dedede,#ececec,#f9f9f9,#eee"/>
    </o:shapedefaults>
    <o:shapelayout v:ext="edit">
      <o:idmap v:ext="edit" data="1"/>
    </o:shapelayout>
  </w:shapeDefaults>
  <w:decimalSymbol w:val="."/>
  <w:listSeparator w:val=","/>
  <w14:docId w14:val="1B62E169"/>
  <w15:docId w15:val="{F6C3E6E3-2D95-4EA1-A98A-DF3661BE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5B4"/>
    <w:rPr>
      <w:rFonts w:ascii="Arial" w:hAnsi="Arial"/>
      <w:sz w:val="22"/>
      <w:szCs w:val="22"/>
    </w:rPr>
  </w:style>
  <w:style w:type="paragraph" w:styleId="Heading2">
    <w:name w:val="heading 2"/>
    <w:basedOn w:val="Normal"/>
    <w:next w:val="Normal"/>
    <w:qFormat/>
    <w:rsid w:val="00774BEB"/>
    <w:pPr>
      <w:keepNext/>
      <w:outlineLvl w:val="1"/>
    </w:pPr>
    <w:rPr>
      <w:rFonts w:ascii="Times New Roman" w:hAnsi="Times New Roman"/>
      <w:b/>
      <w:szCs w:val="20"/>
      <w:u w:val="single"/>
    </w:rPr>
  </w:style>
  <w:style w:type="paragraph" w:styleId="Heading3">
    <w:name w:val="heading 3"/>
    <w:basedOn w:val="Normal"/>
    <w:next w:val="Normal"/>
    <w:qFormat/>
    <w:rsid w:val="00774BEB"/>
    <w:pPr>
      <w:keepNext/>
      <w:tabs>
        <w:tab w:val="num" w:pos="851"/>
      </w:tabs>
      <w:ind w:left="851" w:hanging="851"/>
      <w:outlineLvl w:val="2"/>
    </w:pPr>
    <w:rPr>
      <w:rFonts w:ascii="Times New Roman" w:hAnsi="Times New Roman"/>
      <w:b/>
      <w:sz w:val="20"/>
      <w:szCs w:val="20"/>
    </w:rPr>
  </w:style>
  <w:style w:type="paragraph" w:styleId="Heading4">
    <w:name w:val="heading 4"/>
    <w:basedOn w:val="Normal"/>
    <w:next w:val="Normal"/>
    <w:qFormat/>
    <w:rsid w:val="005D56AF"/>
    <w:pPr>
      <w:keepNext/>
      <w:numPr>
        <w:ilvl w:val="3"/>
        <w:numId w:val="1"/>
      </w:numPr>
      <w:spacing w:before="240" w:after="60"/>
      <w:outlineLvl w:val="3"/>
    </w:pPr>
    <w:rPr>
      <w:rFonts w:ascii="Times New Roman" w:hAnsi="Times New Roman"/>
      <w:b/>
      <w:bCs/>
      <w:sz w:val="28"/>
      <w:szCs w:val="28"/>
    </w:rPr>
  </w:style>
  <w:style w:type="paragraph" w:styleId="Heading7">
    <w:name w:val="heading 7"/>
    <w:basedOn w:val="Normal"/>
    <w:next w:val="Normal"/>
    <w:qFormat/>
    <w:rsid w:val="00774BEB"/>
    <w:pPr>
      <w:keepNext/>
      <w:tabs>
        <w:tab w:val="num" w:pos="5549"/>
      </w:tabs>
      <w:ind w:left="5549" w:hanging="1296"/>
      <w:outlineLvl w:val="6"/>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4"/>
    <w:rsid w:val="005D56AF"/>
    <w:pPr>
      <w:spacing w:before="0" w:after="0"/>
    </w:pPr>
    <w:rPr>
      <w:rFonts w:ascii="Arial" w:hAnsi="Arial"/>
      <w:bCs w:val="0"/>
      <w:sz w:val="22"/>
      <w:szCs w:val="20"/>
      <w:u w:val="single"/>
    </w:rPr>
  </w:style>
  <w:style w:type="table" w:styleId="TableGrid">
    <w:name w:val="Table Grid"/>
    <w:basedOn w:val="TableNormal"/>
    <w:uiPriority w:val="59"/>
    <w:rsid w:val="0077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74BEB"/>
    <w:pPr>
      <w:tabs>
        <w:tab w:val="center" w:pos="4153"/>
        <w:tab w:val="right" w:pos="8306"/>
      </w:tabs>
    </w:pPr>
  </w:style>
  <w:style w:type="paragraph" w:styleId="BodyTextIndent3">
    <w:name w:val="Body Text Indent 3"/>
    <w:basedOn w:val="Normal"/>
    <w:rsid w:val="00774BEB"/>
    <w:pPr>
      <w:ind w:left="709" w:hanging="709"/>
      <w:jc w:val="both"/>
    </w:pPr>
    <w:rPr>
      <w:szCs w:val="20"/>
    </w:rPr>
  </w:style>
  <w:style w:type="paragraph" w:styleId="ListContinue">
    <w:name w:val="List Continue"/>
    <w:basedOn w:val="Normal"/>
    <w:link w:val="ListContinueChar"/>
    <w:rsid w:val="00774BEB"/>
    <w:pPr>
      <w:spacing w:after="120"/>
      <w:ind w:left="283"/>
    </w:pPr>
    <w:rPr>
      <w:sz w:val="24"/>
    </w:rPr>
  </w:style>
  <w:style w:type="character" w:customStyle="1" w:styleId="ListContinueChar">
    <w:name w:val="List Continue Char"/>
    <w:link w:val="ListContinue"/>
    <w:rsid w:val="00774BEB"/>
    <w:rPr>
      <w:rFonts w:ascii="Arial" w:hAnsi="Arial"/>
      <w:sz w:val="24"/>
      <w:szCs w:val="22"/>
      <w:lang w:val="en-GB" w:eastAsia="en-GB" w:bidi="ar-SA"/>
    </w:rPr>
  </w:style>
  <w:style w:type="paragraph" w:styleId="ListNumber5">
    <w:name w:val="List Number 5"/>
    <w:basedOn w:val="Normal"/>
    <w:rsid w:val="00774BEB"/>
    <w:pPr>
      <w:numPr>
        <w:numId w:val="2"/>
      </w:numPr>
    </w:pPr>
    <w:rPr>
      <w:rFonts w:ascii="Times New Roman" w:hAnsi="Times New Roman"/>
      <w:sz w:val="24"/>
      <w:szCs w:val="20"/>
    </w:rPr>
  </w:style>
  <w:style w:type="character" w:styleId="CommentReference">
    <w:name w:val="annotation reference"/>
    <w:semiHidden/>
    <w:rsid w:val="00774BEB"/>
    <w:rPr>
      <w:sz w:val="16"/>
      <w:szCs w:val="16"/>
    </w:rPr>
  </w:style>
  <w:style w:type="paragraph" w:styleId="CommentText">
    <w:name w:val="annotation text"/>
    <w:basedOn w:val="Normal"/>
    <w:link w:val="CommentTextChar"/>
    <w:uiPriority w:val="99"/>
    <w:semiHidden/>
    <w:rsid w:val="00774BEB"/>
    <w:rPr>
      <w:sz w:val="20"/>
      <w:szCs w:val="20"/>
    </w:rPr>
  </w:style>
  <w:style w:type="paragraph" w:styleId="BalloonText">
    <w:name w:val="Balloon Text"/>
    <w:basedOn w:val="Normal"/>
    <w:semiHidden/>
    <w:rsid w:val="00774BEB"/>
    <w:rPr>
      <w:rFonts w:ascii="Tahoma" w:hAnsi="Tahoma" w:cs="Tahoma"/>
      <w:sz w:val="16"/>
      <w:szCs w:val="16"/>
    </w:rPr>
  </w:style>
  <w:style w:type="paragraph" w:styleId="Footer">
    <w:name w:val="footer"/>
    <w:basedOn w:val="Normal"/>
    <w:rsid w:val="00774BEB"/>
    <w:pPr>
      <w:tabs>
        <w:tab w:val="center" w:pos="4153"/>
        <w:tab w:val="right" w:pos="8306"/>
      </w:tabs>
    </w:pPr>
  </w:style>
  <w:style w:type="paragraph" w:styleId="BodyText2">
    <w:name w:val="Body Text 2"/>
    <w:basedOn w:val="Normal"/>
    <w:link w:val="BodyText2Char"/>
    <w:rsid w:val="003D2851"/>
    <w:pPr>
      <w:spacing w:after="120" w:line="480" w:lineRule="auto"/>
    </w:pPr>
  </w:style>
  <w:style w:type="character" w:styleId="PageNumber">
    <w:name w:val="page number"/>
    <w:basedOn w:val="DefaultParagraphFont"/>
    <w:rsid w:val="003D2851"/>
  </w:style>
  <w:style w:type="paragraph" w:customStyle="1" w:styleId="SUB-HEAD">
    <w:name w:val="SUB-HEAD"/>
    <w:basedOn w:val="Normal"/>
    <w:next w:val="Normal"/>
    <w:rsid w:val="003D2851"/>
    <w:pPr>
      <w:spacing w:after="240"/>
    </w:pPr>
    <w:rPr>
      <w:b/>
      <w:caps/>
      <w:szCs w:val="20"/>
      <w:lang w:val="en-US" w:eastAsia="en-US"/>
    </w:rPr>
  </w:style>
  <w:style w:type="paragraph" w:styleId="BodyTextIndent">
    <w:name w:val="Body Text Indent"/>
    <w:basedOn w:val="Normal"/>
    <w:rsid w:val="00571733"/>
    <w:pPr>
      <w:spacing w:after="120"/>
      <w:ind w:left="283"/>
    </w:pPr>
  </w:style>
  <w:style w:type="paragraph" w:styleId="Caption">
    <w:name w:val="caption"/>
    <w:basedOn w:val="Normal"/>
    <w:next w:val="Normal"/>
    <w:uiPriority w:val="35"/>
    <w:semiHidden/>
    <w:unhideWhenUsed/>
    <w:qFormat/>
    <w:rsid w:val="00A77412"/>
    <w:rPr>
      <w:b/>
      <w:bCs/>
      <w:sz w:val="20"/>
      <w:szCs w:val="20"/>
    </w:rPr>
  </w:style>
  <w:style w:type="paragraph" w:styleId="ListParagraph">
    <w:name w:val="List Paragraph"/>
    <w:basedOn w:val="Normal"/>
    <w:uiPriority w:val="34"/>
    <w:qFormat/>
    <w:rsid w:val="000E098B"/>
    <w:pPr>
      <w:ind w:left="720"/>
      <w:contextualSpacing/>
    </w:pPr>
  </w:style>
  <w:style w:type="character" w:customStyle="1" w:styleId="BodyText2Char">
    <w:name w:val="Body Text 2 Char"/>
    <w:link w:val="BodyText2"/>
    <w:rsid w:val="00717184"/>
    <w:rPr>
      <w:rFonts w:ascii="Arial" w:hAnsi="Arial"/>
      <w:sz w:val="22"/>
      <w:szCs w:val="22"/>
    </w:rPr>
  </w:style>
  <w:style w:type="table" w:customStyle="1" w:styleId="TableGrid1">
    <w:name w:val="Table Grid1"/>
    <w:basedOn w:val="TableNormal"/>
    <w:uiPriority w:val="59"/>
    <w:rsid w:val="0040566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5ACA"/>
    <w:pPr>
      <w:autoSpaceDE w:val="0"/>
      <w:autoSpaceDN w:val="0"/>
      <w:adjustRightInd w:val="0"/>
    </w:pPr>
    <w:rPr>
      <w:rFonts w:ascii="Arial" w:hAnsi="Arial" w:cs="Arial"/>
      <w:color w:val="000000"/>
      <w:sz w:val="24"/>
      <w:szCs w:val="24"/>
    </w:rPr>
  </w:style>
  <w:style w:type="character" w:customStyle="1" w:styleId="e24kjd">
    <w:name w:val="e24kjd"/>
    <w:basedOn w:val="DefaultParagraphFont"/>
    <w:rsid w:val="009F1733"/>
  </w:style>
  <w:style w:type="paragraph" w:customStyle="1" w:styleId="INDENT1">
    <w:name w:val="INDENT 1"/>
    <w:basedOn w:val="Normal"/>
    <w:rsid w:val="000F1408"/>
    <w:pPr>
      <w:widowControl w:val="0"/>
      <w:ind w:left="720" w:hanging="720"/>
      <w:jc w:val="both"/>
    </w:pPr>
    <w:rPr>
      <w:rFonts w:eastAsia="Arial" w:cs="Arial"/>
      <w:color w:val="000000"/>
      <w:sz w:val="20"/>
      <w:szCs w:val="20"/>
    </w:rPr>
  </w:style>
  <w:style w:type="character" w:customStyle="1" w:styleId="greenfont2">
    <w:name w:val="green_font2"/>
    <w:basedOn w:val="DefaultParagraphFont"/>
    <w:rsid w:val="002A7101"/>
    <w:rPr>
      <w:color w:val="009E99"/>
    </w:rPr>
  </w:style>
  <w:style w:type="character" w:styleId="Hyperlink">
    <w:name w:val="Hyperlink"/>
    <w:basedOn w:val="DefaultParagraphFont"/>
    <w:uiPriority w:val="99"/>
    <w:unhideWhenUsed/>
    <w:rsid w:val="002231BB"/>
    <w:rPr>
      <w:color w:val="0000FF" w:themeColor="hyperlink"/>
      <w:u w:val="single"/>
    </w:rPr>
  </w:style>
  <w:style w:type="character" w:styleId="Emphasis">
    <w:name w:val="Emphasis"/>
    <w:basedOn w:val="DefaultParagraphFont"/>
    <w:uiPriority w:val="20"/>
    <w:qFormat/>
    <w:rsid w:val="002231BB"/>
    <w:rPr>
      <w:i/>
      <w:iCs/>
    </w:rPr>
  </w:style>
  <w:style w:type="character" w:customStyle="1" w:styleId="tel4">
    <w:name w:val="tel4"/>
    <w:rsid w:val="00FA6F1B"/>
    <w:rPr>
      <w:b/>
      <w:bCs/>
      <w:vanish w:val="0"/>
      <w:webHidden w:val="0"/>
      <w:color w:val="3E3E3E"/>
      <w:sz w:val="48"/>
      <w:szCs w:val="48"/>
      <w:specVanish w:val="0"/>
    </w:rPr>
  </w:style>
  <w:style w:type="character" w:customStyle="1" w:styleId="HeaderChar">
    <w:name w:val="Header Char"/>
    <w:basedOn w:val="DefaultParagraphFont"/>
    <w:link w:val="Header"/>
    <w:rsid w:val="00DD1A26"/>
    <w:rPr>
      <w:rFonts w:ascii="Arial" w:hAnsi="Arial"/>
      <w:sz w:val="22"/>
      <w:szCs w:val="22"/>
    </w:rPr>
  </w:style>
  <w:style w:type="paragraph" w:styleId="CommentSubject">
    <w:name w:val="annotation subject"/>
    <w:basedOn w:val="CommentText"/>
    <w:next w:val="CommentText"/>
    <w:link w:val="CommentSubjectChar"/>
    <w:uiPriority w:val="99"/>
    <w:semiHidden/>
    <w:unhideWhenUsed/>
    <w:rsid w:val="00113264"/>
    <w:rPr>
      <w:b/>
      <w:bCs/>
    </w:rPr>
  </w:style>
  <w:style w:type="character" w:customStyle="1" w:styleId="CommentTextChar">
    <w:name w:val="Comment Text Char"/>
    <w:basedOn w:val="DefaultParagraphFont"/>
    <w:link w:val="CommentText"/>
    <w:uiPriority w:val="99"/>
    <w:semiHidden/>
    <w:rsid w:val="00113264"/>
    <w:rPr>
      <w:rFonts w:ascii="Arial" w:hAnsi="Arial"/>
    </w:rPr>
  </w:style>
  <w:style w:type="character" w:customStyle="1" w:styleId="CommentSubjectChar">
    <w:name w:val="Comment Subject Char"/>
    <w:basedOn w:val="CommentTextChar"/>
    <w:link w:val="CommentSubject"/>
    <w:uiPriority w:val="99"/>
    <w:semiHidden/>
    <w:rsid w:val="00113264"/>
    <w:rPr>
      <w:rFonts w:ascii="Arial" w:hAnsi="Arial"/>
      <w:b/>
      <w:bCs/>
    </w:rPr>
  </w:style>
  <w:style w:type="character" w:customStyle="1" w:styleId="A30">
    <w:name w:val="A30"/>
    <w:uiPriority w:val="99"/>
    <w:rsid w:val="00A21F7A"/>
    <w:rPr>
      <w:rFonts w:cs="Corbel"/>
      <w:b/>
      <w:bCs/>
      <w:color w:val="000000"/>
      <w:sz w:val="21"/>
      <w:szCs w:val="21"/>
    </w:rPr>
  </w:style>
  <w:style w:type="character" w:styleId="FollowedHyperlink">
    <w:name w:val="FollowedHyperlink"/>
    <w:basedOn w:val="DefaultParagraphFont"/>
    <w:uiPriority w:val="99"/>
    <w:semiHidden/>
    <w:unhideWhenUsed/>
    <w:rsid w:val="00326C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9869">
      <w:bodyDiv w:val="1"/>
      <w:marLeft w:val="0"/>
      <w:marRight w:val="0"/>
      <w:marTop w:val="0"/>
      <w:marBottom w:val="0"/>
      <w:divBdr>
        <w:top w:val="none" w:sz="0" w:space="0" w:color="auto"/>
        <w:left w:val="none" w:sz="0" w:space="0" w:color="auto"/>
        <w:bottom w:val="none" w:sz="0" w:space="0" w:color="auto"/>
        <w:right w:val="none" w:sz="0" w:space="0" w:color="auto"/>
      </w:divBdr>
    </w:div>
    <w:div w:id="330564825">
      <w:bodyDiv w:val="1"/>
      <w:marLeft w:val="0"/>
      <w:marRight w:val="0"/>
      <w:marTop w:val="0"/>
      <w:marBottom w:val="0"/>
      <w:divBdr>
        <w:top w:val="none" w:sz="0" w:space="0" w:color="auto"/>
        <w:left w:val="none" w:sz="0" w:space="0" w:color="auto"/>
        <w:bottom w:val="none" w:sz="0" w:space="0" w:color="auto"/>
        <w:right w:val="none" w:sz="0" w:space="0" w:color="auto"/>
      </w:divBdr>
    </w:div>
    <w:div w:id="578028091">
      <w:bodyDiv w:val="1"/>
      <w:marLeft w:val="0"/>
      <w:marRight w:val="0"/>
      <w:marTop w:val="0"/>
      <w:marBottom w:val="0"/>
      <w:divBdr>
        <w:top w:val="none" w:sz="0" w:space="0" w:color="auto"/>
        <w:left w:val="none" w:sz="0" w:space="0" w:color="auto"/>
        <w:bottom w:val="none" w:sz="0" w:space="0" w:color="auto"/>
        <w:right w:val="none" w:sz="0" w:space="0" w:color="auto"/>
      </w:divBdr>
    </w:div>
    <w:div w:id="664553821">
      <w:bodyDiv w:val="1"/>
      <w:marLeft w:val="0"/>
      <w:marRight w:val="0"/>
      <w:marTop w:val="0"/>
      <w:marBottom w:val="0"/>
      <w:divBdr>
        <w:top w:val="none" w:sz="0" w:space="0" w:color="auto"/>
        <w:left w:val="none" w:sz="0" w:space="0" w:color="auto"/>
        <w:bottom w:val="none" w:sz="0" w:space="0" w:color="auto"/>
        <w:right w:val="none" w:sz="0" w:space="0" w:color="auto"/>
      </w:divBdr>
    </w:div>
    <w:div w:id="768625801">
      <w:bodyDiv w:val="1"/>
      <w:marLeft w:val="0"/>
      <w:marRight w:val="0"/>
      <w:marTop w:val="0"/>
      <w:marBottom w:val="0"/>
      <w:divBdr>
        <w:top w:val="none" w:sz="0" w:space="0" w:color="auto"/>
        <w:left w:val="none" w:sz="0" w:space="0" w:color="auto"/>
        <w:bottom w:val="none" w:sz="0" w:space="0" w:color="auto"/>
        <w:right w:val="none" w:sz="0" w:space="0" w:color="auto"/>
      </w:divBdr>
    </w:div>
    <w:div w:id="862329893">
      <w:bodyDiv w:val="1"/>
      <w:marLeft w:val="0"/>
      <w:marRight w:val="0"/>
      <w:marTop w:val="0"/>
      <w:marBottom w:val="0"/>
      <w:divBdr>
        <w:top w:val="none" w:sz="0" w:space="0" w:color="auto"/>
        <w:left w:val="none" w:sz="0" w:space="0" w:color="auto"/>
        <w:bottom w:val="none" w:sz="0" w:space="0" w:color="auto"/>
        <w:right w:val="none" w:sz="0" w:space="0" w:color="auto"/>
      </w:divBdr>
    </w:div>
    <w:div w:id="1051810412">
      <w:bodyDiv w:val="1"/>
      <w:marLeft w:val="0"/>
      <w:marRight w:val="0"/>
      <w:marTop w:val="0"/>
      <w:marBottom w:val="0"/>
      <w:divBdr>
        <w:top w:val="none" w:sz="0" w:space="0" w:color="auto"/>
        <w:left w:val="none" w:sz="0" w:space="0" w:color="auto"/>
        <w:bottom w:val="none" w:sz="0" w:space="0" w:color="auto"/>
        <w:right w:val="none" w:sz="0" w:space="0" w:color="auto"/>
      </w:divBdr>
    </w:div>
    <w:div w:id="1092162397">
      <w:bodyDiv w:val="1"/>
      <w:marLeft w:val="0"/>
      <w:marRight w:val="0"/>
      <w:marTop w:val="0"/>
      <w:marBottom w:val="0"/>
      <w:divBdr>
        <w:top w:val="none" w:sz="0" w:space="0" w:color="auto"/>
        <w:left w:val="none" w:sz="0" w:space="0" w:color="auto"/>
        <w:bottom w:val="none" w:sz="0" w:space="0" w:color="auto"/>
        <w:right w:val="none" w:sz="0" w:space="0" w:color="auto"/>
      </w:divBdr>
    </w:div>
    <w:div w:id="1195077243">
      <w:bodyDiv w:val="1"/>
      <w:marLeft w:val="0"/>
      <w:marRight w:val="0"/>
      <w:marTop w:val="0"/>
      <w:marBottom w:val="0"/>
      <w:divBdr>
        <w:top w:val="none" w:sz="0" w:space="0" w:color="auto"/>
        <w:left w:val="none" w:sz="0" w:space="0" w:color="auto"/>
        <w:bottom w:val="none" w:sz="0" w:space="0" w:color="auto"/>
        <w:right w:val="none" w:sz="0" w:space="0" w:color="auto"/>
      </w:divBdr>
    </w:div>
    <w:div w:id="1828859508">
      <w:bodyDiv w:val="1"/>
      <w:marLeft w:val="0"/>
      <w:marRight w:val="0"/>
      <w:marTop w:val="0"/>
      <w:marBottom w:val="0"/>
      <w:divBdr>
        <w:top w:val="none" w:sz="0" w:space="0" w:color="auto"/>
        <w:left w:val="none" w:sz="0" w:space="0" w:color="auto"/>
        <w:bottom w:val="none" w:sz="0" w:space="0" w:color="auto"/>
        <w:right w:val="none" w:sz="0" w:space="0" w:color="auto"/>
      </w:divBdr>
    </w:div>
    <w:div w:id="18346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B8BD4-9003-4597-A714-1448F4EA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13</Pages>
  <Words>5707</Words>
  <Characters>32533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Bamber, Janice</cp:lastModifiedBy>
  <cp:revision>10</cp:revision>
  <cp:lastPrinted>2020-02-12T14:50:00Z</cp:lastPrinted>
  <dcterms:created xsi:type="dcterms:W3CDTF">2020-06-01T13:03:00Z</dcterms:created>
  <dcterms:modified xsi:type="dcterms:W3CDTF">2020-06-10T18:14:00Z</dcterms:modified>
</cp:coreProperties>
</file>